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B2135C" w14:paraId="688F31E3" w14:textId="77777777">
        <w:tblPrEx>
          <w:tblCellMar>
            <w:top w:w="0" w:type="dxa"/>
            <w:bottom w:w="0" w:type="dxa"/>
          </w:tblCellMar>
        </w:tblPrEx>
        <w:trPr>
          <w:tblCellSpacing w:w="60" w:type="dxa"/>
        </w:trPr>
        <w:tc>
          <w:tcPr>
            <w:tcW w:w="1200" w:type="pct"/>
            <w:shd w:val="clear" w:color="auto" w:fill="E7F0F9"/>
          </w:tcPr>
          <w:p w14:paraId="60A36C41" w14:textId="77777777" w:rsidR="00B2135C" w:rsidRDefault="00000000">
            <w:pPr>
              <w:spacing w:after="0" w:line="240" w:lineRule="auto"/>
            </w:pPr>
            <w:r>
              <w:rPr>
                <w:b/>
              </w:rPr>
              <w:t>RKP broj</w:t>
            </w:r>
          </w:p>
        </w:tc>
        <w:tc>
          <w:tcPr>
            <w:tcW w:w="0" w:type="auto"/>
            <w:shd w:val="clear" w:color="auto" w:fill="E7F0F9"/>
          </w:tcPr>
          <w:p w14:paraId="787CD89F" w14:textId="77777777" w:rsidR="00B2135C" w:rsidRDefault="00000000">
            <w:pPr>
              <w:spacing w:after="0" w:line="240" w:lineRule="auto"/>
            </w:pPr>
            <w:r>
              <w:t>40703</w:t>
            </w:r>
          </w:p>
        </w:tc>
      </w:tr>
      <w:tr w:rsidR="00B2135C" w14:paraId="777112C0" w14:textId="77777777">
        <w:tblPrEx>
          <w:tblCellMar>
            <w:top w:w="0" w:type="dxa"/>
            <w:bottom w:w="0" w:type="dxa"/>
          </w:tblCellMar>
        </w:tblPrEx>
        <w:trPr>
          <w:tblCellSpacing w:w="60" w:type="dxa"/>
        </w:trPr>
        <w:tc>
          <w:tcPr>
            <w:tcW w:w="1200" w:type="pct"/>
            <w:shd w:val="clear" w:color="auto" w:fill="E7F0F9"/>
          </w:tcPr>
          <w:p w14:paraId="5879C17B" w14:textId="77777777" w:rsidR="00B2135C" w:rsidRDefault="00000000">
            <w:pPr>
              <w:spacing w:after="0" w:line="240" w:lineRule="auto"/>
            </w:pPr>
            <w:r>
              <w:rPr>
                <w:b/>
              </w:rPr>
              <w:t>Naziv obveznika</w:t>
            </w:r>
          </w:p>
        </w:tc>
        <w:tc>
          <w:tcPr>
            <w:tcW w:w="0" w:type="auto"/>
            <w:shd w:val="clear" w:color="auto" w:fill="E7F0F9"/>
          </w:tcPr>
          <w:p w14:paraId="52007ABA" w14:textId="77777777" w:rsidR="00B2135C" w:rsidRDefault="00000000">
            <w:pPr>
              <w:spacing w:after="0" w:line="240" w:lineRule="auto"/>
            </w:pPr>
            <w:r>
              <w:t>NAFTALAN - SPECIJALNA BOLNICA ZA MEDICINSKU REHABILITACIJU</w:t>
            </w:r>
          </w:p>
        </w:tc>
      </w:tr>
      <w:tr w:rsidR="00B2135C" w14:paraId="130E3086" w14:textId="77777777">
        <w:tblPrEx>
          <w:tblCellMar>
            <w:top w:w="0" w:type="dxa"/>
            <w:bottom w:w="0" w:type="dxa"/>
          </w:tblCellMar>
        </w:tblPrEx>
        <w:trPr>
          <w:tblCellSpacing w:w="60" w:type="dxa"/>
        </w:trPr>
        <w:tc>
          <w:tcPr>
            <w:tcW w:w="1200" w:type="pct"/>
            <w:shd w:val="clear" w:color="auto" w:fill="E7F0F9"/>
          </w:tcPr>
          <w:p w14:paraId="47E94024" w14:textId="77777777" w:rsidR="00B2135C" w:rsidRDefault="00000000">
            <w:pPr>
              <w:spacing w:after="0" w:line="240" w:lineRule="auto"/>
            </w:pPr>
            <w:r>
              <w:rPr>
                <w:b/>
              </w:rPr>
              <w:t>Razina</w:t>
            </w:r>
          </w:p>
        </w:tc>
        <w:tc>
          <w:tcPr>
            <w:tcW w:w="0" w:type="auto"/>
            <w:shd w:val="clear" w:color="auto" w:fill="E7F0F9"/>
          </w:tcPr>
          <w:p w14:paraId="5A4E9099" w14:textId="77777777" w:rsidR="00B2135C" w:rsidRDefault="00000000">
            <w:pPr>
              <w:spacing w:after="0" w:line="240" w:lineRule="auto"/>
            </w:pPr>
            <w:r>
              <w:t>31</w:t>
            </w:r>
          </w:p>
        </w:tc>
      </w:tr>
    </w:tbl>
    <w:p w14:paraId="22685096" w14:textId="77777777" w:rsidR="00B2135C" w:rsidRDefault="00000000">
      <w:r>
        <w:br/>
      </w:r>
    </w:p>
    <w:p w14:paraId="16E83E0C" w14:textId="77777777" w:rsidR="00B2135C" w:rsidRDefault="00000000">
      <w:pPr>
        <w:spacing w:line="240" w:lineRule="auto"/>
        <w:jc w:val="center"/>
      </w:pPr>
      <w:r>
        <w:rPr>
          <w:b/>
          <w:sz w:val="28"/>
        </w:rPr>
        <w:t>BILJEŠKE UZ FINANCIJSKE IZVJEŠTAJE</w:t>
      </w:r>
    </w:p>
    <w:p w14:paraId="66A104A2" w14:textId="77777777" w:rsidR="00B2135C" w:rsidRDefault="00000000">
      <w:pPr>
        <w:spacing w:line="240" w:lineRule="auto"/>
        <w:jc w:val="center"/>
      </w:pPr>
      <w:r>
        <w:rPr>
          <w:b/>
          <w:sz w:val="28"/>
        </w:rPr>
        <w:t>ZA RAZDOBLJE</w:t>
      </w:r>
    </w:p>
    <w:p w14:paraId="4A3BB67C" w14:textId="77777777" w:rsidR="00B2135C" w:rsidRDefault="00000000">
      <w:pPr>
        <w:spacing w:line="240" w:lineRule="auto"/>
        <w:jc w:val="center"/>
      </w:pPr>
      <w:r>
        <w:rPr>
          <w:b/>
          <w:sz w:val="28"/>
        </w:rPr>
        <w:t>I - XII 2025.</w:t>
      </w:r>
    </w:p>
    <w:p w14:paraId="6FD481A5" w14:textId="77777777" w:rsidR="00B2135C" w:rsidRDefault="00B2135C"/>
    <w:p w14:paraId="467E8589" w14:textId="77777777" w:rsidR="00B2135C" w:rsidRDefault="00000000">
      <w:pPr>
        <w:keepNext/>
        <w:spacing w:line="240" w:lineRule="auto"/>
        <w:jc w:val="center"/>
      </w:pPr>
      <w:r>
        <w:rPr>
          <w:b/>
          <w:sz w:val="28"/>
        </w:rPr>
        <w:t>Izvještaj o prihodima i rashodima, primicima i izdacima</w:t>
      </w:r>
    </w:p>
    <w:p w14:paraId="7ED5B680" w14:textId="77777777" w:rsidR="00B2135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3BD807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C7559E"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2C77D2"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FDA2EE"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07707"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C3170A"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57D01F" w14:textId="77777777" w:rsidR="00B2135C" w:rsidRDefault="00000000">
            <w:pPr>
              <w:keepNext/>
              <w:keepLines/>
              <w:spacing w:after="0" w:line="240" w:lineRule="auto"/>
              <w:jc w:val="center"/>
            </w:pPr>
            <w:r>
              <w:rPr>
                <w:b/>
                <w:sz w:val="18"/>
              </w:rPr>
              <w:t>Indeks (%)</w:t>
            </w:r>
          </w:p>
        </w:tc>
      </w:tr>
      <w:tr w:rsidR="00B2135C" w14:paraId="007197ED" w14:textId="77777777">
        <w:tblPrEx>
          <w:tblCellMar>
            <w:top w:w="0" w:type="dxa"/>
            <w:bottom w:w="0" w:type="dxa"/>
          </w:tblCellMar>
        </w:tblPrEx>
        <w:trPr>
          <w:cantSplit/>
          <w:trHeight w:val="560"/>
        </w:trPr>
        <w:tc>
          <w:tcPr>
            <w:tcW w:w="700" w:type="dxa"/>
            <w:tcMar>
              <w:top w:w="0" w:type="dxa"/>
              <w:bottom w:w="0" w:type="dxa"/>
            </w:tcMar>
            <w:vAlign w:val="center"/>
          </w:tcPr>
          <w:p w14:paraId="69B43688" w14:textId="77777777" w:rsidR="00B2135C" w:rsidRDefault="00000000">
            <w:pPr>
              <w:keepNext/>
              <w:keepLines/>
              <w:spacing w:after="0" w:line="240" w:lineRule="auto"/>
            </w:pPr>
            <w:r>
              <w:rPr>
                <w:sz w:val="18"/>
              </w:rPr>
              <w:t>6</w:t>
            </w:r>
          </w:p>
        </w:tc>
        <w:tc>
          <w:tcPr>
            <w:tcW w:w="3180" w:type="dxa"/>
            <w:tcMar>
              <w:top w:w="0" w:type="dxa"/>
              <w:bottom w:w="0" w:type="dxa"/>
            </w:tcMar>
            <w:vAlign w:val="center"/>
          </w:tcPr>
          <w:p w14:paraId="419CE4C9" w14:textId="77777777" w:rsidR="00B2135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B01C3A5" w14:textId="77777777" w:rsidR="00B2135C" w:rsidRDefault="00000000">
            <w:pPr>
              <w:keepNext/>
              <w:keepLines/>
              <w:spacing w:after="0" w:line="240" w:lineRule="auto"/>
            </w:pPr>
            <w:r>
              <w:rPr>
                <w:sz w:val="18"/>
              </w:rPr>
              <w:t>6</w:t>
            </w:r>
          </w:p>
        </w:tc>
        <w:tc>
          <w:tcPr>
            <w:tcW w:w="1860" w:type="dxa"/>
            <w:tcMar>
              <w:top w:w="0" w:type="dxa"/>
              <w:bottom w:w="0" w:type="dxa"/>
            </w:tcMar>
            <w:vAlign w:val="center"/>
          </w:tcPr>
          <w:p w14:paraId="4DBB5580" w14:textId="77777777" w:rsidR="00B2135C" w:rsidRDefault="00000000">
            <w:pPr>
              <w:keepNext/>
              <w:keepLines/>
              <w:spacing w:after="0" w:line="240" w:lineRule="auto"/>
              <w:jc w:val="right"/>
            </w:pPr>
            <w:r>
              <w:rPr>
                <w:sz w:val="18"/>
              </w:rPr>
              <w:t>7.573.522,51</w:t>
            </w:r>
          </w:p>
        </w:tc>
        <w:tc>
          <w:tcPr>
            <w:tcW w:w="1860" w:type="dxa"/>
            <w:tcMar>
              <w:top w:w="0" w:type="dxa"/>
              <w:bottom w:w="0" w:type="dxa"/>
            </w:tcMar>
            <w:vAlign w:val="center"/>
          </w:tcPr>
          <w:p w14:paraId="26CBF10F" w14:textId="77777777" w:rsidR="00B2135C" w:rsidRDefault="00000000">
            <w:pPr>
              <w:keepNext/>
              <w:keepLines/>
              <w:spacing w:after="0" w:line="240" w:lineRule="auto"/>
              <w:jc w:val="right"/>
            </w:pPr>
            <w:r>
              <w:rPr>
                <w:sz w:val="18"/>
              </w:rPr>
              <w:t>8.751.032,99</w:t>
            </w:r>
          </w:p>
        </w:tc>
        <w:tc>
          <w:tcPr>
            <w:tcW w:w="700" w:type="dxa"/>
            <w:tcMar>
              <w:top w:w="0" w:type="dxa"/>
              <w:bottom w:w="0" w:type="dxa"/>
            </w:tcMar>
            <w:vAlign w:val="center"/>
          </w:tcPr>
          <w:p w14:paraId="78EB92F4" w14:textId="77777777" w:rsidR="00B2135C" w:rsidRDefault="00000000">
            <w:pPr>
              <w:keepNext/>
              <w:keepLines/>
              <w:spacing w:after="0" w:line="240" w:lineRule="auto"/>
              <w:jc w:val="right"/>
            </w:pPr>
            <w:r>
              <w:rPr>
                <w:sz w:val="18"/>
              </w:rPr>
              <w:t>115,5</w:t>
            </w:r>
          </w:p>
        </w:tc>
      </w:tr>
      <w:tr w:rsidR="00B2135C" w14:paraId="1F50D27C" w14:textId="77777777">
        <w:tblPrEx>
          <w:tblCellMar>
            <w:top w:w="0" w:type="dxa"/>
            <w:bottom w:w="0" w:type="dxa"/>
          </w:tblCellMar>
        </w:tblPrEx>
        <w:trPr>
          <w:cantSplit/>
          <w:trHeight w:val="560"/>
        </w:trPr>
        <w:tc>
          <w:tcPr>
            <w:tcW w:w="700" w:type="dxa"/>
            <w:tcMar>
              <w:top w:w="0" w:type="dxa"/>
              <w:bottom w:w="0" w:type="dxa"/>
            </w:tcMar>
            <w:vAlign w:val="center"/>
          </w:tcPr>
          <w:p w14:paraId="20DE0730" w14:textId="77777777" w:rsidR="00B2135C" w:rsidRDefault="00000000">
            <w:pPr>
              <w:keepNext/>
              <w:keepLines/>
              <w:spacing w:after="0" w:line="240" w:lineRule="auto"/>
            </w:pPr>
            <w:r>
              <w:rPr>
                <w:sz w:val="18"/>
              </w:rPr>
              <w:t>3</w:t>
            </w:r>
          </w:p>
        </w:tc>
        <w:tc>
          <w:tcPr>
            <w:tcW w:w="3180" w:type="dxa"/>
            <w:tcMar>
              <w:top w:w="0" w:type="dxa"/>
              <w:bottom w:w="0" w:type="dxa"/>
            </w:tcMar>
            <w:vAlign w:val="center"/>
          </w:tcPr>
          <w:p w14:paraId="00C676BD" w14:textId="77777777" w:rsidR="00B2135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8C5D569" w14:textId="77777777" w:rsidR="00B2135C" w:rsidRDefault="00000000">
            <w:pPr>
              <w:keepNext/>
              <w:keepLines/>
              <w:spacing w:after="0" w:line="240" w:lineRule="auto"/>
            </w:pPr>
            <w:r>
              <w:rPr>
                <w:sz w:val="18"/>
              </w:rPr>
              <w:t>3</w:t>
            </w:r>
          </w:p>
        </w:tc>
        <w:tc>
          <w:tcPr>
            <w:tcW w:w="1860" w:type="dxa"/>
            <w:tcMar>
              <w:top w:w="0" w:type="dxa"/>
              <w:bottom w:w="0" w:type="dxa"/>
            </w:tcMar>
            <w:vAlign w:val="center"/>
          </w:tcPr>
          <w:p w14:paraId="38990DCD" w14:textId="77777777" w:rsidR="00B2135C" w:rsidRDefault="00000000">
            <w:pPr>
              <w:keepNext/>
              <w:keepLines/>
              <w:spacing w:after="0" w:line="240" w:lineRule="auto"/>
              <w:jc w:val="right"/>
            </w:pPr>
            <w:r>
              <w:rPr>
                <w:sz w:val="18"/>
              </w:rPr>
              <w:t>6.970.835,00</w:t>
            </w:r>
          </w:p>
        </w:tc>
        <w:tc>
          <w:tcPr>
            <w:tcW w:w="1860" w:type="dxa"/>
            <w:tcMar>
              <w:top w:w="0" w:type="dxa"/>
              <w:bottom w:w="0" w:type="dxa"/>
            </w:tcMar>
            <w:vAlign w:val="center"/>
          </w:tcPr>
          <w:p w14:paraId="62B34757" w14:textId="77777777" w:rsidR="00B2135C" w:rsidRDefault="00000000">
            <w:pPr>
              <w:keepNext/>
              <w:keepLines/>
              <w:spacing w:after="0" w:line="240" w:lineRule="auto"/>
              <w:jc w:val="right"/>
            </w:pPr>
            <w:r>
              <w:rPr>
                <w:sz w:val="18"/>
              </w:rPr>
              <w:t>7.626.546,76</w:t>
            </w:r>
          </w:p>
        </w:tc>
        <w:tc>
          <w:tcPr>
            <w:tcW w:w="700" w:type="dxa"/>
            <w:tcMar>
              <w:top w:w="0" w:type="dxa"/>
              <w:bottom w:w="0" w:type="dxa"/>
            </w:tcMar>
            <w:vAlign w:val="center"/>
          </w:tcPr>
          <w:p w14:paraId="12C4B497" w14:textId="77777777" w:rsidR="00B2135C" w:rsidRDefault="00000000">
            <w:pPr>
              <w:keepNext/>
              <w:keepLines/>
              <w:spacing w:after="0" w:line="240" w:lineRule="auto"/>
              <w:jc w:val="right"/>
            </w:pPr>
            <w:r>
              <w:rPr>
                <w:sz w:val="18"/>
              </w:rPr>
              <w:t>109,4</w:t>
            </w:r>
          </w:p>
        </w:tc>
      </w:tr>
      <w:tr w:rsidR="00B2135C" w14:paraId="5A1EC80F" w14:textId="77777777">
        <w:tblPrEx>
          <w:tblCellMar>
            <w:top w:w="0" w:type="dxa"/>
            <w:bottom w:w="0" w:type="dxa"/>
          </w:tblCellMar>
        </w:tblPrEx>
        <w:trPr>
          <w:cantSplit/>
          <w:trHeight w:val="560"/>
        </w:trPr>
        <w:tc>
          <w:tcPr>
            <w:tcW w:w="700" w:type="dxa"/>
            <w:tcMar>
              <w:top w:w="0" w:type="dxa"/>
              <w:bottom w:w="0" w:type="dxa"/>
            </w:tcMar>
            <w:vAlign w:val="center"/>
          </w:tcPr>
          <w:p w14:paraId="7AA7996A" w14:textId="77777777" w:rsidR="00B2135C" w:rsidRDefault="00B2135C">
            <w:pPr>
              <w:keepNext/>
              <w:keepLines/>
              <w:spacing w:after="0" w:line="240" w:lineRule="auto"/>
            </w:pPr>
          </w:p>
        </w:tc>
        <w:tc>
          <w:tcPr>
            <w:tcW w:w="3180" w:type="dxa"/>
            <w:tcMar>
              <w:top w:w="0" w:type="dxa"/>
              <w:bottom w:w="0" w:type="dxa"/>
            </w:tcMar>
            <w:vAlign w:val="center"/>
          </w:tcPr>
          <w:p w14:paraId="0AB56475" w14:textId="77777777" w:rsidR="00B2135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BDB942C" w14:textId="77777777" w:rsidR="00B2135C" w:rsidRDefault="00000000">
            <w:pPr>
              <w:keepNext/>
              <w:keepLines/>
              <w:spacing w:after="0" w:line="240" w:lineRule="auto"/>
            </w:pPr>
            <w:r>
              <w:rPr>
                <w:b/>
                <w:sz w:val="18"/>
              </w:rPr>
              <w:t>X001</w:t>
            </w:r>
          </w:p>
        </w:tc>
        <w:tc>
          <w:tcPr>
            <w:tcW w:w="1860" w:type="dxa"/>
            <w:tcMar>
              <w:top w:w="0" w:type="dxa"/>
              <w:bottom w:w="0" w:type="dxa"/>
            </w:tcMar>
            <w:vAlign w:val="center"/>
          </w:tcPr>
          <w:p w14:paraId="61D05A9D" w14:textId="77777777" w:rsidR="00B2135C" w:rsidRDefault="00000000">
            <w:pPr>
              <w:keepNext/>
              <w:keepLines/>
              <w:spacing w:after="0" w:line="240" w:lineRule="auto"/>
              <w:jc w:val="right"/>
            </w:pPr>
            <w:r>
              <w:rPr>
                <w:b/>
                <w:sz w:val="18"/>
              </w:rPr>
              <w:t>602.687,51</w:t>
            </w:r>
          </w:p>
        </w:tc>
        <w:tc>
          <w:tcPr>
            <w:tcW w:w="1860" w:type="dxa"/>
            <w:tcMar>
              <w:top w:w="0" w:type="dxa"/>
              <w:bottom w:w="0" w:type="dxa"/>
            </w:tcMar>
            <w:vAlign w:val="center"/>
          </w:tcPr>
          <w:p w14:paraId="113111FA" w14:textId="77777777" w:rsidR="00B2135C" w:rsidRDefault="00000000">
            <w:pPr>
              <w:keepNext/>
              <w:keepLines/>
              <w:spacing w:after="0" w:line="240" w:lineRule="auto"/>
              <w:jc w:val="right"/>
            </w:pPr>
            <w:r>
              <w:rPr>
                <w:b/>
                <w:sz w:val="18"/>
              </w:rPr>
              <w:t>1.124.486,23</w:t>
            </w:r>
          </w:p>
        </w:tc>
        <w:tc>
          <w:tcPr>
            <w:tcW w:w="700" w:type="dxa"/>
            <w:tcMar>
              <w:top w:w="0" w:type="dxa"/>
              <w:bottom w:w="0" w:type="dxa"/>
            </w:tcMar>
            <w:vAlign w:val="center"/>
          </w:tcPr>
          <w:p w14:paraId="228B6E9A" w14:textId="77777777" w:rsidR="00B2135C" w:rsidRDefault="00000000">
            <w:pPr>
              <w:keepNext/>
              <w:keepLines/>
              <w:spacing w:after="0" w:line="240" w:lineRule="auto"/>
              <w:jc w:val="right"/>
            </w:pPr>
            <w:r>
              <w:rPr>
                <w:b/>
                <w:sz w:val="18"/>
              </w:rPr>
              <w:t>186,6</w:t>
            </w:r>
          </w:p>
        </w:tc>
      </w:tr>
      <w:tr w:rsidR="00B2135C" w14:paraId="5F9BF658" w14:textId="77777777">
        <w:tblPrEx>
          <w:tblCellMar>
            <w:top w:w="0" w:type="dxa"/>
            <w:bottom w:w="0" w:type="dxa"/>
          </w:tblCellMar>
        </w:tblPrEx>
        <w:trPr>
          <w:cantSplit/>
          <w:trHeight w:val="560"/>
        </w:trPr>
        <w:tc>
          <w:tcPr>
            <w:tcW w:w="700" w:type="dxa"/>
            <w:tcMar>
              <w:top w:w="0" w:type="dxa"/>
              <w:bottom w:w="0" w:type="dxa"/>
            </w:tcMar>
            <w:vAlign w:val="center"/>
          </w:tcPr>
          <w:p w14:paraId="69EDD78A" w14:textId="77777777" w:rsidR="00B2135C" w:rsidRDefault="00000000">
            <w:pPr>
              <w:keepNext/>
              <w:keepLines/>
              <w:spacing w:after="0" w:line="240" w:lineRule="auto"/>
            </w:pPr>
            <w:r>
              <w:rPr>
                <w:sz w:val="18"/>
              </w:rPr>
              <w:t>7</w:t>
            </w:r>
          </w:p>
        </w:tc>
        <w:tc>
          <w:tcPr>
            <w:tcW w:w="3180" w:type="dxa"/>
            <w:tcMar>
              <w:top w:w="0" w:type="dxa"/>
              <w:bottom w:w="0" w:type="dxa"/>
            </w:tcMar>
            <w:vAlign w:val="center"/>
          </w:tcPr>
          <w:p w14:paraId="6472BF25" w14:textId="77777777" w:rsidR="00B2135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11BCB81" w14:textId="77777777" w:rsidR="00B2135C" w:rsidRDefault="00000000">
            <w:pPr>
              <w:keepNext/>
              <w:keepLines/>
              <w:spacing w:after="0" w:line="240" w:lineRule="auto"/>
            </w:pPr>
            <w:r>
              <w:rPr>
                <w:sz w:val="18"/>
              </w:rPr>
              <w:t>7</w:t>
            </w:r>
          </w:p>
        </w:tc>
        <w:tc>
          <w:tcPr>
            <w:tcW w:w="1860" w:type="dxa"/>
            <w:tcMar>
              <w:top w:w="0" w:type="dxa"/>
              <w:bottom w:w="0" w:type="dxa"/>
            </w:tcMar>
            <w:vAlign w:val="center"/>
          </w:tcPr>
          <w:p w14:paraId="425ADE44" w14:textId="77777777" w:rsidR="00B2135C" w:rsidRDefault="00000000">
            <w:pPr>
              <w:keepNext/>
              <w:keepLines/>
              <w:spacing w:after="0" w:line="240" w:lineRule="auto"/>
              <w:jc w:val="right"/>
            </w:pPr>
            <w:r>
              <w:rPr>
                <w:sz w:val="18"/>
              </w:rPr>
              <w:t>0,00</w:t>
            </w:r>
          </w:p>
        </w:tc>
        <w:tc>
          <w:tcPr>
            <w:tcW w:w="1860" w:type="dxa"/>
            <w:tcMar>
              <w:top w:w="0" w:type="dxa"/>
              <w:bottom w:w="0" w:type="dxa"/>
            </w:tcMar>
            <w:vAlign w:val="center"/>
          </w:tcPr>
          <w:p w14:paraId="330DBEB4" w14:textId="77777777" w:rsidR="00B2135C" w:rsidRDefault="00000000">
            <w:pPr>
              <w:keepNext/>
              <w:keepLines/>
              <w:spacing w:after="0" w:line="240" w:lineRule="auto"/>
              <w:jc w:val="right"/>
            </w:pPr>
            <w:r>
              <w:rPr>
                <w:sz w:val="18"/>
              </w:rPr>
              <w:t>0,00</w:t>
            </w:r>
          </w:p>
        </w:tc>
        <w:tc>
          <w:tcPr>
            <w:tcW w:w="700" w:type="dxa"/>
            <w:tcMar>
              <w:top w:w="0" w:type="dxa"/>
              <w:bottom w:w="0" w:type="dxa"/>
            </w:tcMar>
            <w:vAlign w:val="center"/>
          </w:tcPr>
          <w:p w14:paraId="3159DDBA" w14:textId="77777777" w:rsidR="00B2135C" w:rsidRDefault="00000000">
            <w:pPr>
              <w:keepNext/>
              <w:keepLines/>
              <w:spacing w:after="0" w:line="240" w:lineRule="auto"/>
              <w:jc w:val="right"/>
            </w:pPr>
            <w:r>
              <w:rPr>
                <w:sz w:val="18"/>
              </w:rPr>
              <w:t>-</w:t>
            </w:r>
          </w:p>
        </w:tc>
      </w:tr>
      <w:tr w:rsidR="00B2135C" w14:paraId="03ABDA2F" w14:textId="77777777">
        <w:tblPrEx>
          <w:tblCellMar>
            <w:top w:w="0" w:type="dxa"/>
            <w:bottom w:w="0" w:type="dxa"/>
          </w:tblCellMar>
        </w:tblPrEx>
        <w:trPr>
          <w:cantSplit/>
          <w:trHeight w:val="560"/>
        </w:trPr>
        <w:tc>
          <w:tcPr>
            <w:tcW w:w="700" w:type="dxa"/>
            <w:tcMar>
              <w:top w:w="0" w:type="dxa"/>
              <w:bottom w:w="0" w:type="dxa"/>
            </w:tcMar>
            <w:vAlign w:val="center"/>
          </w:tcPr>
          <w:p w14:paraId="7D467CA2" w14:textId="77777777" w:rsidR="00B2135C" w:rsidRDefault="00000000">
            <w:pPr>
              <w:keepNext/>
              <w:keepLines/>
              <w:spacing w:after="0" w:line="240" w:lineRule="auto"/>
            </w:pPr>
            <w:r>
              <w:rPr>
                <w:sz w:val="18"/>
              </w:rPr>
              <w:t>4</w:t>
            </w:r>
          </w:p>
        </w:tc>
        <w:tc>
          <w:tcPr>
            <w:tcW w:w="3180" w:type="dxa"/>
            <w:tcMar>
              <w:top w:w="0" w:type="dxa"/>
              <w:bottom w:w="0" w:type="dxa"/>
            </w:tcMar>
            <w:vAlign w:val="center"/>
          </w:tcPr>
          <w:p w14:paraId="14285DEC" w14:textId="77777777" w:rsidR="00B2135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BA7DF01" w14:textId="77777777" w:rsidR="00B2135C" w:rsidRDefault="00000000">
            <w:pPr>
              <w:keepNext/>
              <w:keepLines/>
              <w:spacing w:after="0" w:line="240" w:lineRule="auto"/>
            </w:pPr>
            <w:r>
              <w:rPr>
                <w:sz w:val="18"/>
              </w:rPr>
              <w:t>4</w:t>
            </w:r>
          </w:p>
        </w:tc>
        <w:tc>
          <w:tcPr>
            <w:tcW w:w="1860" w:type="dxa"/>
            <w:tcMar>
              <w:top w:w="0" w:type="dxa"/>
              <w:bottom w:w="0" w:type="dxa"/>
            </w:tcMar>
            <w:vAlign w:val="center"/>
          </w:tcPr>
          <w:p w14:paraId="22231304" w14:textId="77777777" w:rsidR="00B2135C" w:rsidRDefault="00000000">
            <w:pPr>
              <w:keepNext/>
              <w:keepLines/>
              <w:spacing w:after="0" w:line="240" w:lineRule="auto"/>
              <w:jc w:val="right"/>
            </w:pPr>
            <w:r>
              <w:rPr>
                <w:sz w:val="18"/>
              </w:rPr>
              <w:t>307.283,62</w:t>
            </w:r>
          </w:p>
        </w:tc>
        <w:tc>
          <w:tcPr>
            <w:tcW w:w="1860" w:type="dxa"/>
            <w:tcMar>
              <w:top w:w="0" w:type="dxa"/>
              <w:bottom w:w="0" w:type="dxa"/>
            </w:tcMar>
            <w:vAlign w:val="center"/>
          </w:tcPr>
          <w:p w14:paraId="369D386D" w14:textId="77777777" w:rsidR="00B2135C" w:rsidRDefault="00000000">
            <w:pPr>
              <w:keepNext/>
              <w:keepLines/>
              <w:spacing w:after="0" w:line="240" w:lineRule="auto"/>
              <w:jc w:val="right"/>
            </w:pPr>
            <w:r>
              <w:rPr>
                <w:sz w:val="18"/>
              </w:rPr>
              <w:t>854.040,42</w:t>
            </w:r>
          </w:p>
        </w:tc>
        <w:tc>
          <w:tcPr>
            <w:tcW w:w="700" w:type="dxa"/>
            <w:tcMar>
              <w:top w:w="0" w:type="dxa"/>
              <w:bottom w:w="0" w:type="dxa"/>
            </w:tcMar>
            <w:vAlign w:val="center"/>
          </w:tcPr>
          <w:p w14:paraId="488A7B5F" w14:textId="77777777" w:rsidR="00B2135C" w:rsidRDefault="00000000">
            <w:pPr>
              <w:keepNext/>
              <w:keepLines/>
              <w:spacing w:after="0" w:line="240" w:lineRule="auto"/>
              <w:jc w:val="right"/>
            </w:pPr>
            <w:r>
              <w:rPr>
                <w:sz w:val="18"/>
              </w:rPr>
              <w:t>277,9</w:t>
            </w:r>
          </w:p>
        </w:tc>
      </w:tr>
      <w:tr w:rsidR="00B2135C" w14:paraId="4994C3C8" w14:textId="77777777">
        <w:tblPrEx>
          <w:tblCellMar>
            <w:top w:w="0" w:type="dxa"/>
            <w:bottom w:w="0" w:type="dxa"/>
          </w:tblCellMar>
        </w:tblPrEx>
        <w:trPr>
          <w:cantSplit/>
          <w:trHeight w:val="560"/>
        </w:trPr>
        <w:tc>
          <w:tcPr>
            <w:tcW w:w="700" w:type="dxa"/>
            <w:tcMar>
              <w:top w:w="0" w:type="dxa"/>
              <w:bottom w:w="0" w:type="dxa"/>
            </w:tcMar>
            <w:vAlign w:val="center"/>
          </w:tcPr>
          <w:p w14:paraId="72DDFB69" w14:textId="77777777" w:rsidR="00B2135C" w:rsidRDefault="00B2135C">
            <w:pPr>
              <w:keepNext/>
              <w:keepLines/>
              <w:spacing w:after="0" w:line="240" w:lineRule="auto"/>
            </w:pPr>
          </w:p>
        </w:tc>
        <w:tc>
          <w:tcPr>
            <w:tcW w:w="3180" w:type="dxa"/>
            <w:tcMar>
              <w:top w:w="0" w:type="dxa"/>
              <w:bottom w:w="0" w:type="dxa"/>
            </w:tcMar>
            <w:vAlign w:val="center"/>
          </w:tcPr>
          <w:p w14:paraId="4902F024" w14:textId="77777777" w:rsidR="00B2135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0C37ECE" w14:textId="77777777" w:rsidR="00B2135C" w:rsidRDefault="00000000">
            <w:pPr>
              <w:keepNext/>
              <w:keepLines/>
              <w:spacing w:after="0" w:line="240" w:lineRule="auto"/>
            </w:pPr>
            <w:r>
              <w:rPr>
                <w:b/>
                <w:sz w:val="18"/>
              </w:rPr>
              <w:t>Y002</w:t>
            </w:r>
          </w:p>
        </w:tc>
        <w:tc>
          <w:tcPr>
            <w:tcW w:w="1860" w:type="dxa"/>
            <w:tcMar>
              <w:top w:w="0" w:type="dxa"/>
              <w:bottom w:w="0" w:type="dxa"/>
            </w:tcMar>
            <w:vAlign w:val="center"/>
          </w:tcPr>
          <w:p w14:paraId="36E463A0" w14:textId="77777777" w:rsidR="00B2135C" w:rsidRDefault="00000000">
            <w:pPr>
              <w:keepNext/>
              <w:keepLines/>
              <w:spacing w:after="0" w:line="240" w:lineRule="auto"/>
              <w:jc w:val="right"/>
            </w:pPr>
            <w:r>
              <w:rPr>
                <w:b/>
                <w:sz w:val="18"/>
              </w:rPr>
              <w:t>307.283,62</w:t>
            </w:r>
          </w:p>
        </w:tc>
        <w:tc>
          <w:tcPr>
            <w:tcW w:w="1860" w:type="dxa"/>
            <w:tcMar>
              <w:top w:w="0" w:type="dxa"/>
              <w:bottom w:w="0" w:type="dxa"/>
            </w:tcMar>
            <w:vAlign w:val="center"/>
          </w:tcPr>
          <w:p w14:paraId="72CED334" w14:textId="77777777" w:rsidR="00B2135C" w:rsidRDefault="00000000">
            <w:pPr>
              <w:keepNext/>
              <w:keepLines/>
              <w:spacing w:after="0" w:line="240" w:lineRule="auto"/>
              <w:jc w:val="right"/>
            </w:pPr>
            <w:r>
              <w:rPr>
                <w:b/>
                <w:sz w:val="18"/>
              </w:rPr>
              <w:t>854.040,42</w:t>
            </w:r>
          </w:p>
        </w:tc>
        <w:tc>
          <w:tcPr>
            <w:tcW w:w="700" w:type="dxa"/>
            <w:tcMar>
              <w:top w:w="0" w:type="dxa"/>
              <w:bottom w:w="0" w:type="dxa"/>
            </w:tcMar>
            <w:vAlign w:val="center"/>
          </w:tcPr>
          <w:p w14:paraId="0389692E" w14:textId="77777777" w:rsidR="00B2135C" w:rsidRDefault="00000000">
            <w:pPr>
              <w:keepNext/>
              <w:keepLines/>
              <w:spacing w:after="0" w:line="240" w:lineRule="auto"/>
              <w:jc w:val="right"/>
            </w:pPr>
            <w:r>
              <w:rPr>
                <w:b/>
                <w:sz w:val="18"/>
              </w:rPr>
              <w:t>277,9</w:t>
            </w:r>
          </w:p>
        </w:tc>
      </w:tr>
      <w:tr w:rsidR="00B2135C" w14:paraId="6589CAF2" w14:textId="77777777">
        <w:tblPrEx>
          <w:tblCellMar>
            <w:top w:w="0" w:type="dxa"/>
            <w:bottom w:w="0" w:type="dxa"/>
          </w:tblCellMar>
        </w:tblPrEx>
        <w:trPr>
          <w:cantSplit/>
          <w:trHeight w:val="560"/>
        </w:trPr>
        <w:tc>
          <w:tcPr>
            <w:tcW w:w="700" w:type="dxa"/>
            <w:tcMar>
              <w:top w:w="0" w:type="dxa"/>
              <w:bottom w:w="0" w:type="dxa"/>
            </w:tcMar>
            <w:vAlign w:val="center"/>
          </w:tcPr>
          <w:p w14:paraId="6B27A0BA" w14:textId="77777777" w:rsidR="00B2135C" w:rsidRDefault="00000000">
            <w:pPr>
              <w:keepNext/>
              <w:keepLines/>
              <w:spacing w:after="0" w:line="240" w:lineRule="auto"/>
            </w:pPr>
            <w:r>
              <w:rPr>
                <w:sz w:val="18"/>
              </w:rPr>
              <w:t>8</w:t>
            </w:r>
          </w:p>
        </w:tc>
        <w:tc>
          <w:tcPr>
            <w:tcW w:w="3180" w:type="dxa"/>
            <w:tcMar>
              <w:top w:w="0" w:type="dxa"/>
              <w:bottom w:w="0" w:type="dxa"/>
            </w:tcMar>
            <w:vAlign w:val="center"/>
          </w:tcPr>
          <w:p w14:paraId="6A4DEDF0" w14:textId="77777777" w:rsidR="00B2135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AADFF75" w14:textId="77777777" w:rsidR="00B2135C" w:rsidRDefault="00000000">
            <w:pPr>
              <w:keepNext/>
              <w:keepLines/>
              <w:spacing w:after="0" w:line="240" w:lineRule="auto"/>
            </w:pPr>
            <w:r>
              <w:rPr>
                <w:sz w:val="18"/>
              </w:rPr>
              <w:t>8</w:t>
            </w:r>
          </w:p>
        </w:tc>
        <w:tc>
          <w:tcPr>
            <w:tcW w:w="1860" w:type="dxa"/>
            <w:tcMar>
              <w:top w:w="0" w:type="dxa"/>
              <w:bottom w:w="0" w:type="dxa"/>
            </w:tcMar>
            <w:vAlign w:val="center"/>
          </w:tcPr>
          <w:p w14:paraId="102DFB3B" w14:textId="77777777" w:rsidR="00B2135C" w:rsidRDefault="00000000">
            <w:pPr>
              <w:keepNext/>
              <w:keepLines/>
              <w:spacing w:after="0" w:line="240" w:lineRule="auto"/>
              <w:jc w:val="right"/>
            </w:pPr>
            <w:r>
              <w:rPr>
                <w:sz w:val="18"/>
              </w:rPr>
              <w:t>0,00</w:t>
            </w:r>
          </w:p>
        </w:tc>
        <w:tc>
          <w:tcPr>
            <w:tcW w:w="1860" w:type="dxa"/>
            <w:tcMar>
              <w:top w:w="0" w:type="dxa"/>
              <w:bottom w:w="0" w:type="dxa"/>
            </w:tcMar>
            <w:vAlign w:val="center"/>
          </w:tcPr>
          <w:p w14:paraId="4F0BC419" w14:textId="77777777" w:rsidR="00B2135C" w:rsidRDefault="00000000">
            <w:pPr>
              <w:keepNext/>
              <w:keepLines/>
              <w:spacing w:after="0" w:line="240" w:lineRule="auto"/>
              <w:jc w:val="right"/>
            </w:pPr>
            <w:r>
              <w:rPr>
                <w:sz w:val="18"/>
              </w:rPr>
              <w:t>0,00</w:t>
            </w:r>
          </w:p>
        </w:tc>
        <w:tc>
          <w:tcPr>
            <w:tcW w:w="700" w:type="dxa"/>
            <w:tcMar>
              <w:top w:w="0" w:type="dxa"/>
              <w:bottom w:w="0" w:type="dxa"/>
            </w:tcMar>
            <w:vAlign w:val="center"/>
          </w:tcPr>
          <w:p w14:paraId="116EDFBB" w14:textId="77777777" w:rsidR="00B2135C" w:rsidRDefault="00000000">
            <w:pPr>
              <w:keepNext/>
              <w:keepLines/>
              <w:spacing w:after="0" w:line="240" w:lineRule="auto"/>
              <w:jc w:val="right"/>
            </w:pPr>
            <w:r>
              <w:rPr>
                <w:sz w:val="18"/>
              </w:rPr>
              <w:t>-</w:t>
            </w:r>
          </w:p>
        </w:tc>
      </w:tr>
      <w:tr w:rsidR="00B2135C" w14:paraId="20AF3BAD" w14:textId="77777777">
        <w:tblPrEx>
          <w:tblCellMar>
            <w:top w:w="0" w:type="dxa"/>
            <w:bottom w:w="0" w:type="dxa"/>
          </w:tblCellMar>
        </w:tblPrEx>
        <w:trPr>
          <w:cantSplit/>
          <w:trHeight w:val="560"/>
        </w:trPr>
        <w:tc>
          <w:tcPr>
            <w:tcW w:w="700" w:type="dxa"/>
            <w:tcMar>
              <w:top w:w="0" w:type="dxa"/>
              <w:bottom w:w="0" w:type="dxa"/>
            </w:tcMar>
            <w:vAlign w:val="center"/>
          </w:tcPr>
          <w:p w14:paraId="723B80B9" w14:textId="77777777" w:rsidR="00B2135C" w:rsidRDefault="00000000">
            <w:pPr>
              <w:keepNext/>
              <w:keepLines/>
              <w:spacing w:after="0" w:line="240" w:lineRule="auto"/>
            </w:pPr>
            <w:r>
              <w:rPr>
                <w:sz w:val="18"/>
              </w:rPr>
              <w:t>5</w:t>
            </w:r>
          </w:p>
        </w:tc>
        <w:tc>
          <w:tcPr>
            <w:tcW w:w="3180" w:type="dxa"/>
            <w:tcMar>
              <w:top w:w="0" w:type="dxa"/>
              <w:bottom w:w="0" w:type="dxa"/>
            </w:tcMar>
            <w:vAlign w:val="center"/>
          </w:tcPr>
          <w:p w14:paraId="6FC63F1A" w14:textId="77777777" w:rsidR="00B2135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36FB911" w14:textId="77777777" w:rsidR="00B2135C" w:rsidRDefault="00000000">
            <w:pPr>
              <w:keepNext/>
              <w:keepLines/>
              <w:spacing w:after="0" w:line="240" w:lineRule="auto"/>
            </w:pPr>
            <w:r>
              <w:rPr>
                <w:sz w:val="18"/>
              </w:rPr>
              <w:t>5</w:t>
            </w:r>
          </w:p>
        </w:tc>
        <w:tc>
          <w:tcPr>
            <w:tcW w:w="1860" w:type="dxa"/>
            <w:tcMar>
              <w:top w:w="0" w:type="dxa"/>
              <w:bottom w:w="0" w:type="dxa"/>
            </w:tcMar>
            <w:vAlign w:val="center"/>
          </w:tcPr>
          <w:p w14:paraId="101B74F4" w14:textId="77777777" w:rsidR="00B2135C" w:rsidRDefault="00000000">
            <w:pPr>
              <w:keepNext/>
              <w:keepLines/>
              <w:spacing w:after="0" w:line="240" w:lineRule="auto"/>
              <w:jc w:val="right"/>
            </w:pPr>
            <w:r>
              <w:rPr>
                <w:sz w:val="18"/>
              </w:rPr>
              <w:t>337.839,84</w:t>
            </w:r>
          </w:p>
        </w:tc>
        <w:tc>
          <w:tcPr>
            <w:tcW w:w="1860" w:type="dxa"/>
            <w:tcMar>
              <w:top w:w="0" w:type="dxa"/>
              <w:bottom w:w="0" w:type="dxa"/>
            </w:tcMar>
            <w:vAlign w:val="center"/>
          </w:tcPr>
          <w:p w14:paraId="08627BD4" w14:textId="77777777" w:rsidR="00B2135C" w:rsidRDefault="00000000">
            <w:pPr>
              <w:keepNext/>
              <w:keepLines/>
              <w:spacing w:after="0" w:line="240" w:lineRule="auto"/>
              <w:jc w:val="right"/>
            </w:pPr>
            <w:r>
              <w:rPr>
                <w:sz w:val="18"/>
              </w:rPr>
              <w:t>337.839,84</w:t>
            </w:r>
          </w:p>
        </w:tc>
        <w:tc>
          <w:tcPr>
            <w:tcW w:w="700" w:type="dxa"/>
            <w:tcMar>
              <w:top w:w="0" w:type="dxa"/>
              <w:bottom w:w="0" w:type="dxa"/>
            </w:tcMar>
            <w:vAlign w:val="center"/>
          </w:tcPr>
          <w:p w14:paraId="4535168F" w14:textId="77777777" w:rsidR="00B2135C" w:rsidRDefault="00000000">
            <w:pPr>
              <w:keepNext/>
              <w:keepLines/>
              <w:spacing w:after="0" w:line="240" w:lineRule="auto"/>
              <w:jc w:val="right"/>
            </w:pPr>
            <w:r>
              <w:rPr>
                <w:sz w:val="18"/>
              </w:rPr>
              <w:t>100</w:t>
            </w:r>
          </w:p>
        </w:tc>
      </w:tr>
      <w:tr w:rsidR="00B2135C" w14:paraId="55D7BB18" w14:textId="77777777">
        <w:tblPrEx>
          <w:tblCellMar>
            <w:top w:w="0" w:type="dxa"/>
            <w:bottom w:w="0" w:type="dxa"/>
          </w:tblCellMar>
        </w:tblPrEx>
        <w:trPr>
          <w:cantSplit/>
          <w:trHeight w:val="560"/>
        </w:trPr>
        <w:tc>
          <w:tcPr>
            <w:tcW w:w="700" w:type="dxa"/>
            <w:tcMar>
              <w:top w:w="0" w:type="dxa"/>
              <w:bottom w:w="0" w:type="dxa"/>
            </w:tcMar>
            <w:vAlign w:val="center"/>
          </w:tcPr>
          <w:p w14:paraId="7D911983" w14:textId="77777777" w:rsidR="00B2135C" w:rsidRDefault="00B2135C">
            <w:pPr>
              <w:keepNext/>
              <w:keepLines/>
              <w:spacing w:after="0" w:line="240" w:lineRule="auto"/>
            </w:pPr>
          </w:p>
        </w:tc>
        <w:tc>
          <w:tcPr>
            <w:tcW w:w="3180" w:type="dxa"/>
            <w:tcMar>
              <w:top w:w="0" w:type="dxa"/>
              <w:bottom w:w="0" w:type="dxa"/>
            </w:tcMar>
            <w:vAlign w:val="center"/>
          </w:tcPr>
          <w:p w14:paraId="428CA33C" w14:textId="77777777" w:rsidR="00B2135C"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285F1D53" w14:textId="77777777" w:rsidR="00B2135C" w:rsidRDefault="00000000">
            <w:pPr>
              <w:keepNext/>
              <w:keepLines/>
              <w:spacing w:after="0" w:line="240" w:lineRule="auto"/>
            </w:pPr>
            <w:r>
              <w:rPr>
                <w:b/>
                <w:sz w:val="18"/>
              </w:rPr>
              <w:t>Y003</w:t>
            </w:r>
          </w:p>
        </w:tc>
        <w:tc>
          <w:tcPr>
            <w:tcW w:w="1860" w:type="dxa"/>
            <w:tcMar>
              <w:top w:w="0" w:type="dxa"/>
              <w:bottom w:w="0" w:type="dxa"/>
            </w:tcMar>
            <w:vAlign w:val="center"/>
          </w:tcPr>
          <w:p w14:paraId="63F4BB89" w14:textId="77777777" w:rsidR="00B2135C" w:rsidRDefault="00000000">
            <w:pPr>
              <w:keepNext/>
              <w:keepLines/>
              <w:spacing w:after="0" w:line="240" w:lineRule="auto"/>
              <w:jc w:val="right"/>
            </w:pPr>
            <w:r>
              <w:rPr>
                <w:b/>
                <w:sz w:val="18"/>
              </w:rPr>
              <w:t>337.839,84</w:t>
            </w:r>
          </w:p>
        </w:tc>
        <w:tc>
          <w:tcPr>
            <w:tcW w:w="1860" w:type="dxa"/>
            <w:tcMar>
              <w:top w:w="0" w:type="dxa"/>
              <w:bottom w:w="0" w:type="dxa"/>
            </w:tcMar>
            <w:vAlign w:val="center"/>
          </w:tcPr>
          <w:p w14:paraId="3ECB746D" w14:textId="77777777" w:rsidR="00B2135C" w:rsidRDefault="00000000">
            <w:pPr>
              <w:keepNext/>
              <w:keepLines/>
              <w:spacing w:after="0" w:line="240" w:lineRule="auto"/>
              <w:jc w:val="right"/>
            </w:pPr>
            <w:r>
              <w:rPr>
                <w:b/>
                <w:sz w:val="18"/>
              </w:rPr>
              <w:t>337.839,84</w:t>
            </w:r>
          </w:p>
        </w:tc>
        <w:tc>
          <w:tcPr>
            <w:tcW w:w="700" w:type="dxa"/>
            <w:tcMar>
              <w:top w:w="0" w:type="dxa"/>
              <w:bottom w:w="0" w:type="dxa"/>
            </w:tcMar>
            <w:vAlign w:val="center"/>
          </w:tcPr>
          <w:p w14:paraId="1E3E4487" w14:textId="77777777" w:rsidR="00B2135C" w:rsidRDefault="00000000">
            <w:pPr>
              <w:keepNext/>
              <w:keepLines/>
              <w:spacing w:after="0" w:line="240" w:lineRule="auto"/>
              <w:jc w:val="right"/>
            </w:pPr>
            <w:r>
              <w:rPr>
                <w:b/>
                <w:sz w:val="18"/>
              </w:rPr>
              <w:t>100</w:t>
            </w:r>
          </w:p>
        </w:tc>
      </w:tr>
      <w:tr w:rsidR="00B2135C" w14:paraId="2B5D2799" w14:textId="77777777">
        <w:tblPrEx>
          <w:tblCellMar>
            <w:top w:w="0" w:type="dxa"/>
            <w:bottom w:w="0" w:type="dxa"/>
          </w:tblCellMar>
        </w:tblPrEx>
        <w:trPr>
          <w:cantSplit/>
          <w:trHeight w:val="560"/>
        </w:trPr>
        <w:tc>
          <w:tcPr>
            <w:tcW w:w="700" w:type="dxa"/>
            <w:tcMar>
              <w:top w:w="0" w:type="dxa"/>
              <w:bottom w:w="0" w:type="dxa"/>
            </w:tcMar>
            <w:vAlign w:val="center"/>
          </w:tcPr>
          <w:p w14:paraId="50316F92" w14:textId="77777777" w:rsidR="00B2135C" w:rsidRDefault="00B2135C">
            <w:pPr>
              <w:keepNext/>
              <w:keepLines/>
              <w:spacing w:after="0" w:line="240" w:lineRule="auto"/>
            </w:pPr>
          </w:p>
        </w:tc>
        <w:tc>
          <w:tcPr>
            <w:tcW w:w="3180" w:type="dxa"/>
            <w:tcMar>
              <w:top w:w="0" w:type="dxa"/>
              <w:bottom w:w="0" w:type="dxa"/>
            </w:tcMar>
            <w:vAlign w:val="center"/>
          </w:tcPr>
          <w:p w14:paraId="13920471" w14:textId="77777777" w:rsidR="00B2135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3C112B4" w14:textId="77777777" w:rsidR="00B2135C" w:rsidRDefault="00000000">
            <w:pPr>
              <w:keepNext/>
              <w:keepLines/>
              <w:spacing w:after="0" w:line="240" w:lineRule="auto"/>
            </w:pPr>
            <w:r>
              <w:rPr>
                <w:b/>
                <w:sz w:val="18"/>
              </w:rPr>
              <w:t>Y005</w:t>
            </w:r>
          </w:p>
        </w:tc>
        <w:tc>
          <w:tcPr>
            <w:tcW w:w="1860" w:type="dxa"/>
            <w:tcMar>
              <w:top w:w="0" w:type="dxa"/>
              <w:bottom w:w="0" w:type="dxa"/>
            </w:tcMar>
            <w:vAlign w:val="center"/>
          </w:tcPr>
          <w:p w14:paraId="00F77151" w14:textId="77777777" w:rsidR="00B2135C" w:rsidRDefault="00000000">
            <w:pPr>
              <w:keepNext/>
              <w:keepLines/>
              <w:spacing w:after="0" w:line="240" w:lineRule="auto"/>
              <w:jc w:val="right"/>
            </w:pPr>
            <w:r>
              <w:rPr>
                <w:b/>
                <w:sz w:val="18"/>
              </w:rPr>
              <w:t>42.435,95</w:t>
            </w:r>
          </w:p>
        </w:tc>
        <w:tc>
          <w:tcPr>
            <w:tcW w:w="1860" w:type="dxa"/>
            <w:tcMar>
              <w:top w:w="0" w:type="dxa"/>
              <w:bottom w:w="0" w:type="dxa"/>
            </w:tcMar>
            <w:vAlign w:val="center"/>
          </w:tcPr>
          <w:p w14:paraId="2FC2CF73" w14:textId="77777777" w:rsidR="00B2135C" w:rsidRDefault="00000000">
            <w:pPr>
              <w:keepNext/>
              <w:keepLines/>
              <w:spacing w:after="0" w:line="240" w:lineRule="auto"/>
              <w:jc w:val="right"/>
            </w:pPr>
            <w:r>
              <w:rPr>
                <w:b/>
                <w:sz w:val="18"/>
              </w:rPr>
              <w:t>67.394,03</w:t>
            </w:r>
          </w:p>
        </w:tc>
        <w:tc>
          <w:tcPr>
            <w:tcW w:w="700" w:type="dxa"/>
            <w:tcMar>
              <w:top w:w="0" w:type="dxa"/>
              <w:bottom w:w="0" w:type="dxa"/>
            </w:tcMar>
            <w:vAlign w:val="center"/>
          </w:tcPr>
          <w:p w14:paraId="5F9D29E5" w14:textId="77777777" w:rsidR="00B2135C" w:rsidRDefault="00000000">
            <w:pPr>
              <w:keepNext/>
              <w:keepLines/>
              <w:spacing w:after="0" w:line="240" w:lineRule="auto"/>
              <w:jc w:val="right"/>
            </w:pPr>
            <w:r>
              <w:rPr>
                <w:b/>
                <w:sz w:val="18"/>
              </w:rPr>
              <w:t>158,8</w:t>
            </w:r>
          </w:p>
        </w:tc>
      </w:tr>
    </w:tbl>
    <w:p w14:paraId="2FC4DBDE" w14:textId="77777777" w:rsidR="00B2135C" w:rsidRDefault="00B2135C">
      <w:pPr>
        <w:spacing w:after="0"/>
      </w:pPr>
    </w:p>
    <w:p w14:paraId="2E33B1D6" w14:textId="77777777" w:rsidR="00B2135C" w:rsidRDefault="00000000" w:rsidP="00C2115A">
      <w:pPr>
        <w:jc w:val="both"/>
      </w:pPr>
      <w:r>
        <w:t>Specijalna bolnica Naftalan, kao proračunski korisnik, u razdoblju od siječnja do prosinca 2025. godine iskazuje manjak prihoda i primitaka u iznosu od 67.394,03 EUR.</w:t>
      </w:r>
    </w:p>
    <w:p w14:paraId="103A1E96" w14:textId="77777777" w:rsidR="00B2135C" w:rsidRDefault="00000000" w:rsidP="00C2115A">
      <w:pPr>
        <w:jc w:val="both"/>
      </w:pPr>
      <w:r>
        <w:t xml:space="preserve">Ostvareni manjak primarno je posljedica značajnih ulaganja u građevinske objekte te nabavu opreme. U okviru projekta WELLTUR NAFTALAN, financiranog iz sredstava Nacionalnog plana oporavka i otpornosti (NPOO) i osnivača Zagrebačke županije, evidentirano je </w:t>
      </w:r>
      <w:r>
        <w:lastRenderedPageBreak/>
        <w:t>potraživanje od državnog proračuna temeljem prijenosa EU sredstava u iznosu od 85.232,93 EUR, koje će biti refundirano tijekom 2026. godine. Navedeno potraživanje upućuje na to da je manjak prihoda i primitaka rezultat rashoda nastalih u sklopu navedenog projekta. U slučaju da su navedeni rashodi bili refundirani do kraja 2025. godine, Specijalna bolnica Naftalan bi poslovnu godinu zaključila s viškom prihoda i primitaka u iznosu od 17.838,90 EUR.</w:t>
      </w:r>
    </w:p>
    <w:p w14:paraId="20B40AAE" w14:textId="77777777" w:rsidR="00B2135C" w:rsidRDefault="00000000" w:rsidP="00C2115A">
      <w:pPr>
        <w:jc w:val="both"/>
      </w:pPr>
      <w:r>
        <w:t>Na dan 31. prosinca 2025. godine, kumulirani manjak Specijalne bolnice Naftalan iznosi 528.798,98 EUR. U narednom trogodišnjem razdoblju planirane su intenzivne aktivnosti usmjerene na smanjenje navedenog manjka, uz kontinuiranu potporu osnivača – Zagrebačke županije.</w:t>
      </w:r>
    </w:p>
    <w:p w14:paraId="360A72CE" w14:textId="77777777" w:rsidR="00B2135C" w:rsidRDefault="00000000">
      <w:r>
        <w:br/>
      </w:r>
    </w:p>
    <w:p w14:paraId="49E30826" w14:textId="77777777" w:rsidR="00B2135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411849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BC864E"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791269"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C42933"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6D6851"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479648"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5D4477" w14:textId="77777777" w:rsidR="00B2135C" w:rsidRDefault="00000000">
            <w:pPr>
              <w:keepNext/>
              <w:keepLines/>
              <w:spacing w:after="0" w:line="240" w:lineRule="auto"/>
              <w:jc w:val="center"/>
            </w:pPr>
            <w:r>
              <w:rPr>
                <w:b/>
                <w:sz w:val="18"/>
              </w:rPr>
              <w:t>Indeks (%)</w:t>
            </w:r>
          </w:p>
        </w:tc>
      </w:tr>
      <w:tr w:rsidR="00B2135C" w14:paraId="1DF5A58A" w14:textId="77777777">
        <w:tblPrEx>
          <w:tblCellMar>
            <w:top w:w="0" w:type="dxa"/>
            <w:bottom w:w="0" w:type="dxa"/>
          </w:tblCellMar>
        </w:tblPrEx>
        <w:trPr>
          <w:cantSplit/>
          <w:trHeight w:val="560"/>
        </w:trPr>
        <w:tc>
          <w:tcPr>
            <w:tcW w:w="700" w:type="dxa"/>
            <w:tcMar>
              <w:top w:w="0" w:type="dxa"/>
              <w:bottom w:w="0" w:type="dxa"/>
            </w:tcMar>
            <w:vAlign w:val="center"/>
          </w:tcPr>
          <w:p w14:paraId="5BD7A6AA" w14:textId="77777777" w:rsidR="00B2135C" w:rsidRDefault="00000000">
            <w:pPr>
              <w:keepNext/>
              <w:keepLines/>
              <w:spacing w:after="0" w:line="240" w:lineRule="auto"/>
            </w:pPr>
            <w:r>
              <w:rPr>
                <w:sz w:val="18"/>
              </w:rPr>
              <w:t>63</w:t>
            </w:r>
          </w:p>
        </w:tc>
        <w:tc>
          <w:tcPr>
            <w:tcW w:w="3180" w:type="dxa"/>
            <w:tcMar>
              <w:top w:w="0" w:type="dxa"/>
              <w:bottom w:w="0" w:type="dxa"/>
            </w:tcMar>
            <w:vAlign w:val="center"/>
          </w:tcPr>
          <w:p w14:paraId="7B21A4BE" w14:textId="77777777" w:rsidR="00B2135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54B9F6D2" w14:textId="77777777" w:rsidR="00B2135C" w:rsidRDefault="00000000">
            <w:pPr>
              <w:keepNext/>
              <w:keepLines/>
              <w:spacing w:after="0" w:line="240" w:lineRule="auto"/>
            </w:pPr>
            <w:r>
              <w:rPr>
                <w:sz w:val="18"/>
              </w:rPr>
              <w:t>63</w:t>
            </w:r>
          </w:p>
        </w:tc>
        <w:tc>
          <w:tcPr>
            <w:tcW w:w="1860" w:type="dxa"/>
            <w:tcMar>
              <w:top w:w="0" w:type="dxa"/>
              <w:bottom w:w="0" w:type="dxa"/>
            </w:tcMar>
            <w:vAlign w:val="center"/>
          </w:tcPr>
          <w:p w14:paraId="7D3EC268" w14:textId="77777777" w:rsidR="00B2135C" w:rsidRDefault="00000000">
            <w:pPr>
              <w:keepNext/>
              <w:keepLines/>
              <w:spacing w:after="0" w:line="240" w:lineRule="auto"/>
              <w:jc w:val="right"/>
            </w:pPr>
            <w:r>
              <w:rPr>
                <w:sz w:val="18"/>
              </w:rPr>
              <w:t>195.110,58</w:t>
            </w:r>
          </w:p>
        </w:tc>
        <w:tc>
          <w:tcPr>
            <w:tcW w:w="1860" w:type="dxa"/>
            <w:tcMar>
              <w:top w:w="0" w:type="dxa"/>
              <w:bottom w:w="0" w:type="dxa"/>
            </w:tcMar>
            <w:vAlign w:val="center"/>
          </w:tcPr>
          <w:p w14:paraId="6BB5141A" w14:textId="77777777" w:rsidR="00B2135C" w:rsidRDefault="00000000">
            <w:pPr>
              <w:keepNext/>
              <w:keepLines/>
              <w:spacing w:after="0" w:line="240" w:lineRule="auto"/>
              <w:jc w:val="right"/>
            </w:pPr>
            <w:r>
              <w:rPr>
                <w:sz w:val="18"/>
              </w:rPr>
              <w:t>389.906,08</w:t>
            </w:r>
          </w:p>
        </w:tc>
        <w:tc>
          <w:tcPr>
            <w:tcW w:w="700" w:type="dxa"/>
            <w:tcMar>
              <w:top w:w="0" w:type="dxa"/>
              <w:bottom w:w="0" w:type="dxa"/>
            </w:tcMar>
            <w:vAlign w:val="center"/>
          </w:tcPr>
          <w:p w14:paraId="1CD12142" w14:textId="77777777" w:rsidR="00B2135C" w:rsidRDefault="00000000">
            <w:pPr>
              <w:keepNext/>
              <w:keepLines/>
              <w:spacing w:after="0" w:line="240" w:lineRule="auto"/>
              <w:jc w:val="right"/>
            </w:pPr>
            <w:r>
              <w:rPr>
                <w:sz w:val="18"/>
              </w:rPr>
              <w:t>199,8</w:t>
            </w:r>
          </w:p>
        </w:tc>
      </w:tr>
    </w:tbl>
    <w:p w14:paraId="73DC5A53" w14:textId="77777777" w:rsidR="00B2135C" w:rsidRDefault="00B2135C">
      <w:pPr>
        <w:spacing w:after="0"/>
      </w:pPr>
    </w:p>
    <w:p w14:paraId="67820F05" w14:textId="77777777" w:rsidR="00B2135C" w:rsidRDefault="00000000" w:rsidP="00C2115A">
      <w:pPr>
        <w:jc w:val="both"/>
      </w:pPr>
      <w:r>
        <w:t>Odstupanje se odnosi na povećanje prihoda temeljem prijenosa EU sredstava tijekom 2025. godine u odnosu na 2024. godinu. U 2024. godini započela je provedba projekta financiranog EU sredstvima, zbog čega sredstva nisu bila ostvarivana tijekom cijele godine, za razliku od 2025. godine.</w:t>
      </w:r>
    </w:p>
    <w:p w14:paraId="0387302D" w14:textId="77777777" w:rsidR="00B2135C" w:rsidRDefault="00B2135C"/>
    <w:p w14:paraId="744FDD66" w14:textId="77777777" w:rsidR="00B2135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3B7739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ED94F5"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783B11"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7EE0A1"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C5815"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4BDE12"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93141C" w14:textId="77777777" w:rsidR="00B2135C" w:rsidRDefault="00000000">
            <w:pPr>
              <w:keepNext/>
              <w:keepLines/>
              <w:spacing w:after="0" w:line="240" w:lineRule="auto"/>
              <w:jc w:val="center"/>
            </w:pPr>
            <w:r>
              <w:rPr>
                <w:b/>
                <w:sz w:val="18"/>
              </w:rPr>
              <w:t>Indeks (%)</w:t>
            </w:r>
          </w:p>
        </w:tc>
      </w:tr>
      <w:tr w:rsidR="00B2135C" w14:paraId="1E89F563" w14:textId="77777777">
        <w:tblPrEx>
          <w:tblCellMar>
            <w:top w:w="0" w:type="dxa"/>
            <w:bottom w:w="0" w:type="dxa"/>
          </w:tblCellMar>
        </w:tblPrEx>
        <w:trPr>
          <w:cantSplit/>
          <w:trHeight w:val="560"/>
        </w:trPr>
        <w:tc>
          <w:tcPr>
            <w:tcW w:w="700" w:type="dxa"/>
            <w:tcMar>
              <w:top w:w="0" w:type="dxa"/>
              <w:bottom w:w="0" w:type="dxa"/>
            </w:tcMar>
            <w:vAlign w:val="center"/>
          </w:tcPr>
          <w:p w14:paraId="67D89C34" w14:textId="77777777" w:rsidR="00B2135C" w:rsidRDefault="00000000">
            <w:pPr>
              <w:keepNext/>
              <w:keepLines/>
              <w:spacing w:after="0" w:line="240" w:lineRule="auto"/>
            </w:pPr>
            <w:r>
              <w:rPr>
                <w:sz w:val="18"/>
              </w:rPr>
              <w:t>6712</w:t>
            </w:r>
          </w:p>
        </w:tc>
        <w:tc>
          <w:tcPr>
            <w:tcW w:w="3180" w:type="dxa"/>
            <w:tcMar>
              <w:top w:w="0" w:type="dxa"/>
              <w:bottom w:w="0" w:type="dxa"/>
            </w:tcMar>
            <w:vAlign w:val="center"/>
          </w:tcPr>
          <w:p w14:paraId="7BED6D93" w14:textId="77777777" w:rsidR="00B2135C"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5E9195D0" w14:textId="77777777" w:rsidR="00B2135C" w:rsidRDefault="00000000">
            <w:pPr>
              <w:keepNext/>
              <w:keepLines/>
              <w:spacing w:after="0" w:line="240" w:lineRule="auto"/>
            </w:pPr>
            <w:r>
              <w:rPr>
                <w:sz w:val="18"/>
              </w:rPr>
              <w:t>6712</w:t>
            </w:r>
          </w:p>
        </w:tc>
        <w:tc>
          <w:tcPr>
            <w:tcW w:w="1860" w:type="dxa"/>
            <w:tcMar>
              <w:top w:w="0" w:type="dxa"/>
              <w:bottom w:w="0" w:type="dxa"/>
            </w:tcMar>
            <w:vAlign w:val="center"/>
          </w:tcPr>
          <w:p w14:paraId="122D3EAE" w14:textId="77777777" w:rsidR="00B2135C" w:rsidRDefault="00000000">
            <w:pPr>
              <w:keepNext/>
              <w:keepLines/>
              <w:spacing w:after="0" w:line="240" w:lineRule="auto"/>
              <w:jc w:val="right"/>
            </w:pPr>
            <w:r>
              <w:rPr>
                <w:sz w:val="18"/>
              </w:rPr>
              <w:t>161.179,70</w:t>
            </w:r>
          </w:p>
        </w:tc>
        <w:tc>
          <w:tcPr>
            <w:tcW w:w="1860" w:type="dxa"/>
            <w:tcMar>
              <w:top w:w="0" w:type="dxa"/>
              <w:bottom w:w="0" w:type="dxa"/>
            </w:tcMar>
            <w:vAlign w:val="center"/>
          </w:tcPr>
          <w:p w14:paraId="6CCA6530" w14:textId="77777777" w:rsidR="00B2135C" w:rsidRDefault="00000000">
            <w:pPr>
              <w:keepNext/>
              <w:keepLines/>
              <w:spacing w:after="0" w:line="240" w:lineRule="auto"/>
              <w:jc w:val="right"/>
            </w:pPr>
            <w:r>
              <w:rPr>
                <w:sz w:val="18"/>
              </w:rPr>
              <w:t>272.827,46</w:t>
            </w:r>
          </w:p>
        </w:tc>
        <w:tc>
          <w:tcPr>
            <w:tcW w:w="700" w:type="dxa"/>
            <w:tcMar>
              <w:top w:w="0" w:type="dxa"/>
              <w:bottom w:w="0" w:type="dxa"/>
            </w:tcMar>
            <w:vAlign w:val="center"/>
          </w:tcPr>
          <w:p w14:paraId="2B98C352" w14:textId="77777777" w:rsidR="00B2135C" w:rsidRDefault="00000000">
            <w:pPr>
              <w:keepNext/>
              <w:keepLines/>
              <w:spacing w:after="0" w:line="240" w:lineRule="auto"/>
              <w:jc w:val="right"/>
            </w:pPr>
            <w:r>
              <w:rPr>
                <w:sz w:val="18"/>
              </w:rPr>
              <w:t>169,3</w:t>
            </w:r>
          </w:p>
        </w:tc>
      </w:tr>
    </w:tbl>
    <w:p w14:paraId="2D978D37" w14:textId="77777777" w:rsidR="00B2135C" w:rsidRDefault="00B2135C">
      <w:pPr>
        <w:spacing w:after="0"/>
      </w:pPr>
    </w:p>
    <w:p w14:paraId="2A113DF0" w14:textId="77777777" w:rsidR="00B2135C" w:rsidRDefault="00000000" w:rsidP="00C2115A">
      <w:pPr>
        <w:jc w:val="both"/>
      </w:pPr>
      <w:r>
        <w:t>Ostvarenje uvećano za 69 % odnosi se na sredstva osnivača Zagrebačke županije za decentralizirane funkcije i sufinanciranje dijela troškova EU projekta WELLTUR NAFTALAN.</w:t>
      </w:r>
    </w:p>
    <w:p w14:paraId="7281FA8C" w14:textId="77777777" w:rsidR="00B2135C" w:rsidRDefault="00B2135C"/>
    <w:p w14:paraId="7F75CF4E" w14:textId="77777777" w:rsidR="00B2135C"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3E7C80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9EECAD"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CEAA71B"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196CC1"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6E1FEC"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CB8BA8"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B98DA9" w14:textId="77777777" w:rsidR="00B2135C" w:rsidRDefault="00000000">
            <w:pPr>
              <w:keepNext/>
              <w:keepLines/>
              <w:spacing w:after="0" w:line="240" w:lineRule="auto"/>
              <w:jc w:val="center"/>
            </w:pPr>
            <w:r>
              <w:rPr>
                <w:b/>
                <w:sz w:val="18"/>
              </w:rPr>
              <w:t>Indeks (%)</w:t>
            </w:r>
          </w:p>
        </w:tc>
      </w:tr>
      <w:tr w:rsidR="00B2135C" w14:paraId="55F078A5" w14:textId="77777777">
        <w:tblPrEx>
          <w:tblCellMar>
            <w:top w:w="0" w:type="dxa"/>
            <w:bottom w:w="0" w:type="dxa"/>
          </w:tblCellMar>
        </w:tblPrEx>
        <w:trPr>
          <w:cantSplit/>
          <w:trHeight w:val="560"/>
        </w:trPr>
        <w:tc>
          <w:tcPr>
            <w:tcW w:w="700" w:type="dxa"/>
            <w:tcMar>
              <w:top w:w="0" w:type="dxa"/>
              <w:bottom w:w="0" w:type="dxa"/>
            </w:tcMar>
            <w:vAlign w:val="center"/>
          </w:tcPr>
          <w:p w14:paraId="49505098" w14:textId="77777777" w:rsidR="00B2135C" w:rsidRDefault="00000000">
            <w:pPr>
              <w:keepNext/>
              <w:keepLines/>
              <w:spacing w:after="0" w:line="240" w:lineRule="auto"/>
            </w:pPr>
            <w:r>
              <w:rPr>
                <w:sz w:val="18"/>
              </w:rPr>
              <w:t>3213</w:t>
            </w:r>
          </w:p>
        </w:tc>
        <w:tc>
          <w:tcPr>
            <w:tcW w:w="3180" w:type="dxa"/>
            <w:tcMar>
              <w:top w:w="0" w:type="dxa"/>
              <w:bottom w:w="0" w:type="dxa"/>
            </w:tcMar>
            <w:vAlign w:val="center"/>
          </w:tcPr>
          <w:p w14:paraId="2930A60C" w14:textId="77777777" w:rsidR="00B2135C"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4A5ED122" w14:textId="77777777" w:rsidR="00B2135C" w:rsidRDefault="00000000">
            <w:pPr>
              <w:keepNext/>
              <w:keepLines/>
              <w:spacing w:after="0" w:line="240" w:lineRule="auto"/>
            </w:pPr>
            <w:r>
              <w:rPr>
                <w:sz w:val="18"/>
              </w:rPr>
              <w:t>3213</w:t>
            </w:r>
          </w:p>
        </w:tc>
        <w:tc>
          <w:tcPr>
            <w:tcW w:w="1860" w:type="dxa"/>
            <w:tcMar>
              <w:top w:w="0" w:type="dxa"/>
              <w:bottom w:w="0" w:type="dxa"/>
            </w:tcMar>
            <w:vAlign w:val="center"/>
          </w:tcPr>
          <w:p w14:paraId="3289D6BA" w14:textId="77777777" w:rsidR="00B2135C" w:rsidRDefault="00000000">
            <w:pPr>
              <w:keepNext/>
              <w:keepLines/>
              <w:spacing w:after="0" w:line="240" w:lineRule="auto"/>
              <w:jc w:val="right"/>
            </w:pPr>
            <w:r>
              <w:rPr>
                <w:sz w:val="18"/>
              </w:rPr>
              <w:t>7.854,56</w:t>
            </w:r>
          </w:p>
        </w:tc>
        <w:tc>
          <w:tcPr>
            <w:tcW w:w="1860" w:type="dxa"/>
            <w:tcMar>
              <w:top w:w="0" w:type="dxa"/>
              <w:bottom w:w="0" w:type="dxa"/>
            </w:tcMar>
            <w:vAlign w:val="center"/>
          </w:tcPr>
          <w:p w14:paraId="6CFF5B16" w14:textId="77777777" w:rsidR="00B2135C" w:rsidRDefault="00000000">
            <w:pPr>
              <w:keepNext/>
              <w:keepLines/>
              <w:spacing w:after="0" w:line="240" w:lineRule="auto"/>
              <w:jc w:val="right"/>
            </w:pPr>
            <w:r>
              <w:rPr>
                <w:sz w:val="18"/>
              </w:rPr>
              <w:t>20.395,36</w:t>
            </w:r>
          </w:p>
        </w:tc>
        <w:tc>
          <w:tcPr>
            <w:tcW w:w="700" w:type="dxa"/>
            <w:tcMar>
              <w:top w:w="0" w:type="dxa"/>
              <w:bottom w:w="0" w:type="dxa"/>
            </w:tcMar>
            <w:vAlign w:val="center"/>
          </w:tcPr>
          <w:p w14:paraId="1B5639B4" w14:textId="77777777" w:rsidR="00B2135C" w:rsidRDefault="00000000">
            <w:pPr>
              <w:keepNext/>
              <w:keepLines/>
              <w:spacing w:after="0" w:line="240" w:lineRule="auto"/>
              <w:jc w:val="right"/>
            </w:pPr>
            <w:r>
              <w:rPr>
                <w:sz w:val="18"/>
              </w:rPr>
              <w:t>259,7</w:t>
            </w:r>
          </w:p>
        </w:tc>
      </w:tr>
    </w:tbl>
    <w:p w14:paraId="05512C02" w14:textId="77777777" w:rsidR="00B2135C" w:rsidRDefault="00B2135C">
      <w:pPr>
        <w:spacing w:after="0"/>
      </w:pPr>
    </w:p>
    <w:p w14:paraId="161208F1" w14:textId="77777777" w:rsidR="00B2135C" w:rsidRDefault="00000000" w:rsidP="00C2115A">
      <w:pPr>
        <w:jc w:val="both"/>
      </w:pPr>
      <w:r>
        <w:t>Povećanje troškova stručnog usavršavanja odnosi se na troškove specijalizacije liječnika te troškove dodatnih edukacija liječnika.</w:t>
      </w:r>
    </w:p>
    <w:p w14:paraId="4CEDD294" w14:textId="77777777" w:rsidR="00B2135C" w:rsidRDefault="00B2135C"/>
    <w:p w14:paraId="5AB4471D" w14:textId="77777777" w:rsidR="00B2135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03D722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190B16"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CB25E1"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790F3E"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A8395"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A6BE98"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EADAC3" w14:textId="77777777" w:rsidR="00B2135C" w:rsidRDefault="00000000">
            <w:pPr>
              <w:keepNext/>
              <w:keepLines/>
              <w:spacing w:after="0" w:line="240" w:lineRule="auto"/>
              <w:jc w:val="center"/>
            </w:pPr>
            <w:r>
              <w:rPr>
                <w:b/>
                <w:sz w:val="18"/>
              </w:rPr>
              <w:t>Indeks (%)</w:t>
            </w:r>
          </w:p>
        </w:tc>
      </w:tr>
      <w:tr w:rsidR="00B2135C" w14:paraId="62E04185" w14:textId="77777777">
        <w:tblPrEx>
          <w:tblCellMar>
            <w:top w:w="0" w:type="dxa"/>
            <w:bottom w:w="0" w:type="dxa"/>
          </w:tblCellMar>
        </w:tblPrEx>
        <w:trPr>
          <w:cantSplit/>
          <w:trHeight w:val="560"/>
        </w:trPr>
        <w:tc>
          <w:tcPr>
            <w:tcW w:w="700" w:type="dxa"/>
            <w:tcMar>
              <w:top w:w="0" w:type="dxa"/>
              <w:bottom w:w="0" w:type="dxa"/>
            </w:tcMar>
            <w:vAlign w:val="center"/>
          </w:tcPr>
          <w:p w14:paraId="6F651314" w14:textId="77777777" w:rsidR="00B2135C" w:rsidRDefault="00000000">
            <w:pPr>
              <w:keepNext/>
              <w:keepLines/>
              <w:spacing w:after="0" w:line="240" w:lineRule="auto"/>
            </w:pPr>
            <w:r>
              <w:rPr>
                <w:sz w:val="18"/>
              </w:rPr>
              <w:t>3224</w:t>
            </w:r>
          </w:p>
        </w:tc>
        <w:tc>
          <w:tcPr>
            <w:tcW w:w="3180" w:type="dxa"/>
            <w:tcMar>
              <w:top w:w="0" w:type="dxa"/>
              <w:bottom w:w="0" w:type="dxa"/>
            </w:tcMar>
            <w:vAlign w:val="center"/>
          </w:tcPr>
          <w:p w14:paraId="1399CCB2" w14:textId="77777777" w:rsidR="00B2135C"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E4E87D5" w14:textId="77777777" w:rsidR="00B2135C" w:rsidRDefault="00000000">
            <w:pPr>
              <w:keepNext/>
              <w:keepLines/>
              <w:spacing w:after="0" w:line="240" w:lineRule="auto"/>
            </w:pPr>
            <w:r>
              <w:rPr>
                <w:sz w:val="18"/>
              </w:rPr>
              <w:t>3224</w:t>
            </w:r>
          </w:p>
        </w:tc>
        <w:tc>
          <w:tcPr>
            <w:tcW w:w="1860" w:type="dxa"/>
            <w:tcMar>
              <w:top w:w="0" w:type="dxa"/>
              <w:bottom w:w="0" w:type="dxa"/>
            </w:tcMar>
            <w:vAlign w:val="center"/>
          </w:tcPr>
          <w:p w14:paraId="75BDAE92" w14:textId="77777777" w:rsidR="00B2135C" w:rsidRDefault="00000000">
            <w:pPr>
              <w:keepNext/>
              <w:keepLines/>
              <w:spacing w:after="0" w:line="240" w:lineRule="auto"/>
              <w:jc w:val="right"/>
            </w:pPr>
            <w:r>
              <w:rPr>
                <w:sz w:val="18"/>
              </w:rPr>
              <w:t>19.381,67</w:t>
            </w:r>
          </w:p>
        </w:tc>
        <w:tc>
          <w:tcPr>
            <w:tcW w:w="1860" w:type="dxa"/>
            <w:tcMar>
              <w:top w:w="0" w:type="dxa"/>
              <w:bottom w:w="0" w:type="dxa"/>
            </w:tcMar>
            <w:vAlign w:val="center"/>
          </w:tcPr>
          <w:p w14:paraId="08DF2016" w14:textId="77777777" w:rsidR="00B2135C" w:rsidRDefault="00000000">
            <w:pPr>
              <w:keepNext/>
              <w:keepLines/>
              <w:spacing w:after="0" w:line="240" w:lineRule="auto"/>
              <w:jc w:val="right"/>
            </w:pPr>
            <w:r>
              <w:rPr>
                <w:sz w:val="18"/>
              </w:rPr>
              <w:t>36.823,21</w:t>
            </w:r>
          </w:p>
        </w:tc>
        <w:tc>
          <w:tcPr>
            <w:tcW w:w="700" w:type="dxa"/>
            <w:tcMar>
              <w:top w:w="0" w:type="dxa"/>
              <w:bottom w:w="0" w:type="dxa"/>
            </w:tcMar>
            <w:vAlign w:val="center"/>
          </w:tcPr>
          <w:p w14:paraId="72DEA802" w14:textId="77777777" w:rsidR="00B2135C" w:rsidRDefault="00000000">
            <w:pPr>
              <w:keepNext/>
              <w:keepLines/>
              <w:spacing w:after="0" w:line="240" w:lineRule="auto"/>
              <w:jc w:val="right"/>
            </w:pPr>
            <w:r>
              <w:rPr>
                <w:sz w:val="18"/>
              </w:rPr>
              <w:t>190,0</w:t>
            </w:r>
          </w:p>
        </w:tc>
      </w:tr>
    </w:tbl>
    <w:p w14:paraId="503E81A1" w14:textId="77777777" w:rsidR="00B2135C" w:rsidRDefault="00B2135C" w:rsidP="00C2115A">
      <w:pPr>
        <w:spacing w:after="0"/>
        <w:jc w:val="both"/>
      </w:pPr>
    </w:p>
    <w:p w14:paraId="08FFD010" w14:textId="77777777" w:rsidR="00B2135C" w:rsidRDefault="00000000" w:rsidP="00C2115A">
      <w:pPr>
        <w:jc w:val="both"/>
      </w:pPr>
      <w:r>
        <w:t>Povećanje iznosa materijala i dijelova za tekuće i investicijsko održavanje, ponajviše je rezultat zamjene dotrajalih dijelova na bazenima.</w:t>
      </w:r>
    </w:p>
    <w:p w14:paraId="58DDAFBB" w14:textId="77777777" w:rsidR="00B2135C" w:rsidRDefault="00B2135C"/>
    <w:p w14:paraId="4BAB826F" w14:textId="77777777" w:rsidR="00B2135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5837DE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B7AC93"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644B7B"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B0A3D8"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A8078"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76F3DC2"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0FDDD" w14:textId="77777777" w:rsidR="00B2135C" w:rsidRDefault="00000000">
            <w:pPr>
              <w:keepNext/>
              <w:keepLines/>
              <w:spacing w:after="0" w:line="240" w:lineRule="auto"/>
              <w:jc w:val="center"/>
            </w:pPr>
            <w:r>
              <w:rPr>
                <w:b/>
                <w:sz w:val="18"/>
              </w:rPr>
              <w:t>Indeks (%)</w:t>
            </w:r>
          </w:p>
        </w:tc>
      </w:tr>
      <w:tr w:rsidR="00B2135C" w14:paraId="138D44E3" w14:textId="77777777">
        <w:tblPrEx>
          <w:tblCellMar>
            <w:top w:w="0" w:type="dxa"/>
            <w:bottom w:w="0" w:type="dxa"/>
          </w:tblCellMar>
        </w:tblPrEx>
        <w:trPr>
          <w:cantSplit/>
          <w:trHeight w:val="560"/>
        </w:trPr>
        <w:tc>
          <w:tcPr>
            <w:tcW w:w="700" w:type="dxa"/>
            <w:tcMar>
              <w:top w:w="0" w:type="dxa"/>
              <w:bottom w:w="0" w:type="dxa"/>
            </w:tcMar>
            <w:vAlign w:val="center"/>
          </w:tcPr>
          <w:p w14:paraId="72629EB1" w14:textId="77777777" w:rsidR="00B2135C" w:rsidRDefault="00000000">
            <w:pPr>
              <w:keepNext/>
              <w:keepLines/>
              <w:spacing w:after="0" w:line="240" w:lineRule="auto"/>
            </w:pPr>
            <w:r>
              <w:rPr>
                <w:sz w:val="18"/>
              </w:rPr>
              <w:t>3433</w:t>
            </w:r>
          </w:p>
        </w:tc>
        <w:tc>
          <w:tcPr>
            <w:tcW w:w="3180" w:type="dxa"/>
            <w:tcMar>
              <w:top w:w="0" w:type="dxa"/>
              <w:bottom w:w="0" w:type="dxa"/>
            </w:tcMar>
            <w:vAlign w:val="center"/>
          </w:tcPr>
          <w:p w14:paraId="4C6EDEB7" w14:textId="77777777" w:rsidR="00B2135C" w:rsidRDefault="00000000">
            <w:pPr>
              <w:keepNext/>
              <w:keepLines/>
              <w:spacing w:after="0" w:line="240" w:lineRule="auto"/>
            </w:pPr>
            <w:r>
              <w:rPr>
                <w:sz w:val="18"/>
              </w:rPr>
              <w:t>Zatezne kamate</w:t>
            </w:r>
          </w:p>
        </w:tc>
        <w:tc>
          <w:tcPr>
            <w:tcW w:w="700" w:type="dxa"/>
            <w:tcMar>
              <w:top w:w="0" w:type="dxa"/>
              <w:bottom w:w="0" w:type="dxa"/>
            </w:tcMar>
            <w:vAlign w:val="center"/>
          </w:tcPr>
          <w:p w14:paraId="5462FA68" w14:textId="77777777" w:rsidR="00B2135C" w:rsidRDefault="00000000">
            <w:pPr>
              <w:keepNext/>
              <w:keepLines/>
              <w:spacing w:after="0" w:line="240" w:lineRule="auto"/>
            </w:pPr>
            <w:r>
              <w:rPr>
                <w:sz w:val="18"/>
              </w:rPr>
              <w:t>3433</w:t>
            </w:r>
          </w:p>
        </w:tc>
        <w:tc>
          <w:tcPr>
            <w:tcW w:w="1860" w:type="dxa"/>
            <w:tcMar>
              <w:top w:w="0" w:type="dxa"/>
              <w:bottom w:w="0" w:type="dxa"/>
            </w:tcMar>
            <w:vAlign w:val="center"/>
          </w:tcPr>
          <w:p w14:paraId="742D3F25" w14:textId="77777777" w:rsidR="00B2135C" w:rsidRDefault="00000000">
            <w:pPr>
              <w:keepNext/>
              <w:keepLines/>
              <w:spacing w:after="0" w:line="240" w:lineRule="auto"/>
              <w:jc w:val="right"/>
            </w:pPr>
            <w:r>
              <w:rPr>
                <w:sz w:val="18"/>
              </w:rPr>
              <w:t>9.162,83</w:t>
            </w:r>
          </w:p>
        </w:tc>
        <w:tc>
          <w:tcPr>
            <w:tcW w:w="1860" w:type="dxa"/>
            <w:tcMar>
              <w:top w:w="0" w:type="dxa"/>
              <w:bottom w:w="0" w:type="dxa"/>
            </w:tcMar>
            <w:vAlign w:val="center"/>
          </w:tcPr>
          <w:p w14:paraId="06DC66B5" w14:textId="77777777" w:rsidR="00B2135C" w:rsidRDefault="00000000">
            <w:pPr>
              <w:keepNext/>
              <w:keepLines/>
              <w:spacing w:after="0" w:line="240" w:lineRule="auto"/>
              <w:jc w:val="right"/>
            </w:pPr>
            <w:r>
              <w:rPr>
                <w:sz w:val="18"/>
              </w:rPr>
              <w:t>783,27</w:t>
            </w:r>
          </w:p>
        </w:tc>
        <w:tc>
          <w:tcPr>
            <w:tcW w:w="700" w:type="dxa"/>
            <w:tcMar>
              <w:top w:w="0" w:type="dxa"/>
              <w:bottom w:w="0" w:type="dxa"/>
            </w:tcMar>
            <w:vAlign w:val="center"/>
          </w:tcPr>
          <w:p w14:paraId="505CCF65" w14:textId="77777777" w:rsidR="00B2135C" w:rsidRDefault="00000000">
            <w:pPr>
              <w:keepNext/>
              <w:keepLines/>
              <w:spacing w:after="0" w:line="240" w:lineRule="auto"/>
              <w:jc w:val="right"/>
            </w:pPr>
            <w:r>
              <w:rPr>
                <w:sz w:val="18"/>
              </w:rPr>
              <w:t>8,5</w:t>
            </w:r>
          </w:p>
        </w:tc>
      </w:tr>
    </w:tbl>
    <w:p w14:paraId="2D988139" w14:textId="77777777" w:rsidR="00B2135C" w:rsidRDefault="00B2135C" w:rsidP="00C2115A">
      <w:pPr>
        <w:spacing w:after="0"/>
        <w:jc w:val="both"/>
      </w:pPr>
    </w:p>
    <w:p w14:paraId="4EA2297E" w14:textId="77777777" w:rsidR="00B2135C" w:rsidRDefault="00000000" w:rsidP="00C2115A">
      <w:pPr>
        <w:jc w:val="both"/>
      </w:pPr>
      <w:r>
        <w:t>Smanjenje troškova zateznih kamata u iznosu od 8.379,56 EUR rezultat je kontinuiranog nastojanja pravodobnog podmirivanja obveza prema dobavljačima unutar ugovorenih rokova dospijeća.</w:t>
      </w:r>
    </w:p>
    <w:p w14:paraId="3E1EB30C" w14:textId="77777777" w:rsidR="00B2135C" w:rsidRDefault="00B2135C"/>
    <w:p w14:paraId="3AC798E5" w14:textId="77777777" w:rsidR="00B2135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19AEF1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415240"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FD188C"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A38EA6"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A43D55"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D1ED92"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93F871" w14:textId="77777777" w:rsidR="00B2135C" w:rsidRDefault="00000000">
            <w:pPr>
              <w:keepNext/>
              <w:keepLines/>
              <w:spacing w:after="0" w:line="240" w:lineRule="auto"/>
              <w:jc w:val="center"/>
            </w:pPr>
            <w:r>
              <w:rPr>
                <w:b/>
                <w:sz w:val="18"/>
              </w:rPr>
              <w:t>Indeks (%)</w:t>
            </w:r>
          </w:p>
        </w:tc>
      </w:tr>
      <w:tr w:rsidR="00B2135C" w14:paraId="5F3C5758" w14:textId="77777777">
        <w:tblPrEx>
          <w:tblCellMar>
            <w:top w:w="0" w:type="dxa"/>
            <w:bottom w:w="0" w:type="dxa"/>
          </w:tblCellMar>
        </w:tblPrEx>
        <w:trPr>
          <w:cantSplit/>
          <w:trHeight w:val="560"/>
        </w:trPr>
        <w:tc>
          <w:tcPr>
            <w:tcW w:w="700" w:type="dxa"/>
            <w:tcMar>
              <w:top w:w="0" w:type="dxa"/>
              <w:bottom w:w="0" w:type="dxa"/>
            </w:tcMar>
            <w:vAlign w:val="center"/>
          </w:tcPr>
          <w:p w14:paraId="676EC01F" w14:textId="77777777" w:rsidR="00B2135C" w:rsidRDefault="00000000">
            <w:pPr>
              <w:keepNext/>
              <w:keepLines/>
              <w:spacing w:after="0" w:line="240" w:lineRule="auto"/>
            </w:pPr>
            <w:r>
              <w:rPr>
                <w:sz w:val="18"/>
              </w:rPr>
              <w:t>4222</w:t>
            </w:r>
          </w:p>
        </w:tc>
        <w:tc>
          <w:tcPr>
            <w:tcW w:w="3180" w:type="dxa"/>
            <w:tcMar>
              <w:top w:w="0" w:type="dxa"/>
              <w:bottom w:w="0" w:type="dxa"/>
            </w:tcMar>
            <w:vAlign w:val="center"/>
          </w:tcPr>
          <w:p w14:paraId="1ECD53B5" w14:textId="77777777" w:rsidR="00B2135C" w:rsidRDefault="00000000">
            <w:pPr>
              <w:keepNext/>
              <w:keepLines/>
              <w:spacing w:after="0" w:line="240" w:lineRule="auto"/>
            </w:pPr>
            <w:r>
              <w:rPr>
                <w:sz w:val="18"/>
              </w:rPr>
              <w:t>Komunikacijska oprema</w:t>
            </w:r>
          </w:p>
        </w:tc>
        <w:tc>
          <w:tcPr>
            <w:tcW w:w="700" w:type="dxa"/>
            <w:tcMar>
              <w:top w:w="0" w:type="dxa"/>
              <w:bottom w:w="0" w:type="dxa"/>
            </w:tcMar>
            <w:vAlign w:val="center"/>
          </w:tcPr>
          <w:p w14:paraId="4611168D" w14:textId="77777777" w:rsidR="00B2135C" w:rsidRDefault="00000000">
            <w:pPr>
              <w:keepNext/>
              <w:keepLines/>
              <w:spacing w:after="0" w:line="240" w:lineRule="auto"/>
            </w:pPr>
            <w:r>
              <w:rPr>
                <w:sz w:val="18"/>
              </w:rPr>
              <w:t>4222</w:t>
            </w:r>
          </w:p>
        </w:tc>
        <w:tc>
          <w:tcPr>
            <w:tcW w:w="1860" w:type="dxa"/>
            <w:tcMar>
              <w:top w:w="0" w:type="dxa"/>
              <w:bottom w:w="0" w:type="dxa"/>
            </w:tcMar>
            <w:vAlign w:val="center"/>
          </w:tcPr>
          <w:p w14:paraId="189B0A39" w14:textId="77777777" w:rsidR="00B2135C" w:rsidRDefault="00000000">
            <w:pPr>
              <w:keepNext/>
              <w:keepLines/>
              <w:spacing w:after="0" w:line="240" w:lineRule="auto"/>
              <w:jc w:val="right"/>
            </w:pPr>
            <w:r>
              <w:rPr>
                <w:sz w:val="18"/>
              </w:rPr>
              <w:t>17.334,27</w:t>
            </w:r>
          </w:p>
        </w:tc>
        <w:tc>
          <w:tcPr>
            <w:tcW w:w="1860" w:type="dxa"/>
            <w:tcMar>
              <w:top w:w="0" w:type="dxa"/>
              <w:bottom w:w="0" w:type="dxa"/>
            </w:tcMar>
            <w:vAlign w:val="center"/>
          </w:tcPr>
          <w:p w14:paraId="0EE3EEDF" w14:textId="77777777" w:rsidR="00B2135C" w:rsidRDefault="00000000">
            <w:pPr>
              <w:keepNext/>
              <w:keepLines/>
              <w:spacing w:after="0" w:line="240" w:lineRule="auto"/>
              <w:jc w:val="right"/>
            </w:pPr>
            <w:r>
              <w:rPr>
                <w:sz w:val="18"/>
              </w:rPr>
              <w:t>1.549,26</w:t>
            </w:r>
          </w:p>
        </w:tc>
        <w:tc>
          <w:tcPr>
            <w:tcW w:w="700" w:type="dxa"/>
            <w:tcMar>
              <w:top w:w="0" w:type="dxa"/>
              <w:bottom w:w="0" w:type="dxa"/>
            </w:tcMar>
            <w:vAlign w:val="center"/>
          </w:tcPr>
          <w:p w14:paraId="594FA366" w14:textId="77777777" w:rsidR="00B2135C" w:rsidRDefault="00000000">
            <w:pPr>
              <w:keepNext/>
              <w:keepLines/>
              <w:spacing w:after="0" w:line="240" w:lineRule="auto"/>
              <w:jc w:val="right"/>
            </w:pPr>
            <w:r>
              <w:rPr>
                <w:sz w:val="18"/>
              </w:rPr>
              <w:t>8,9</w:t>
            </w:r>
          </w:p>
        </w:tc>
      </w:tr>
    </w:tbl>
    <w:p w14:paraId="28EFBC43" w14:textId="77777777" w:rsidR="00B2135C" w:rsidRDefault="00B2135C">
      <w:pPr>
        <w:spacing w:after="0"/>
      </w:pPr>
    </w:p>
    <w:p w14:paraId="10162265" w14:textId="77777777" w:rsidR="00B2135C" w:rsidRDefault="00000000" w:rsidP="00C2115A">
      <w:pPr>
        <w:jc w:val="both"/>
      </w:pPr>
      <w:r>
        <w:t>Ostvareno odstupanje proizlazi iz stvarnih potreba poslovanja.</w:t>
      </w:r>
    </w:p>
    <w:p w14:paraId="3C323E2E" w14:textId="77777777" w:rsidR="00B2135C" w:rsidRDefault="00B2135C"/>
    <w:p w14:paraId="6E883B1B" w14:textId="77777777" w:rsidR="00B2135C"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453EBE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507730"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F95A5B"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0C40E1"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21E02F"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A2735E"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30C693" w14:textId="77777777" w:rsidR="00B2135C" w:rsidRDefault="00000000">
            <w:pPr>
              <w:keepNext/>
              <w:keepLines/>
              <w:spacing w:after="0" w:line="240" w:lineRule="auto"/>
              <w:jc w:val="center"/>
            </w:pPr>
            <w:r>
              <w:rPr>
                <w:b/>
                <w:sz w:val="18"/>
              </w:rPr>
              <w:t>Indeks (%)</w:t>
            </w:r>
          </w:p>
        </w:tc>
      </w:tr>
      <w:tr w:rsidR="00B2135C" w14:paraId="7592B47B" w14:textId="77777777">
        <w:tblPrEx>
          <w:tblCellMar>
            <w:top w:w="0" w:type="dxa"/>
            <w:bottom w:w="0" w:type="dxa"/>
          </w:tblCellMar>
        </w:tblPrEx>
        <w:trPr>
          <w:cantSplit/>
          <w:trHeight w:val="560"/>
        </w:trPr>
        <w:tc>
          <w:tcPr>
            <w:tcW w:w="700" w:type="dxa"/>
            <w:tcMar>
              <w:top w:w="0" w:type="dxa"/>
              <w:bottom w:w="0" w:type="dxa"/>
            </w:tcMar>
            <w:vAlign w:val="center"/>
          </w:tcPr>
          <w:p w14:paraId="1328EBA6" w14:textId="77777777" w:rsidR="00B2135C" w:rsidRDefault="00000000">
            <w:pPr>
              <w:keepNext/>
              <w:keepLines/>
              <w:spacing w:after="0" w:line="240" w:lineRule="auto"/>
            </w:pPr>
            <w:r>
              <w:rPr>
                <w:sz w:val="18"/>
              </w:rPr>
              <w:t>4223</w:t>
            </w:r>
          </w:p>
        </w:tc>
        <w:tc>
          <w:tcPr>
            <w:tcW w:w="3180" w:type="dxa"/>
            <w:tcMar>
              <w:top w:w="0" w:type="dxa"/>
              <w:bottom w:w="0" w:type="dxa"/>
            </w:tcMar>
            <w:vAlign w:val="center"/>
          </w:tcPr>
          <w:p w14:paraId="23E50A9C" w14:textId="77777777" w:rsidR="00B2135C"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24D4CB34" w14:textId="77777777" w:rsidR="00B2135C" w:rsidRDefault="00000000">
            <w:pPr>
              <w:keepNext/>
              <w:keepLines/>
              <w:spacing w:after="0" w:line="240" w:lineRule="auto"/>
            </w:pPr>
            <w:r>
              <w:rPr>
                <w:sz w:val="18"/>
              </w:rPr>
              <w:t>4223</w:t>
            </w:r>
          </w:p>
        </w:tc>
        <w:tc>
          <w:tcPr>
            <w:tcW w:w="1860" w:type="dxa"/>
            <w:tcMar>
              <w:top w:w="0" w:type="dxa"/>
              <w:bottom w:w="0" w:type="dxa"/>
            </w:tcMar>
            <w:vAlign w:val="center"/>
          </w:tcPr>
          <w:p w14:paraId="12845D24" w14:textId="77777777" w:rsidR="00B2135C" w:rsidRDefault="00000000">
            <w:pPr>
              <w:keepNext/>
              <w:keepLines/>
              <w:spacing w:after="0" w:line="240" w:lineRule="auto"/>
              <w:jc w:val="right"/>
            </w:pPr>
            <w:r>
              <w:rPr>
                <w:sz w:val="18"/>
              </w:rPr>
              <w:t>57.258,90</w:t>
            </w:r>
          </w:p>
        </w:tc>
        <w:tc>
          <w:tcPr>
            <w:tcW w:w="1860" w:type="dxa"/>
            <w:tcMar>
              <w:top w:w="0" w:type="dxa"/>
              <w:bottom w:w="0" w:type="dxa"/>
            </w:tcMar>
            <w:vAlign w:val="center"/>
          </w:tcPr>
          <w:p w14:paraId="7AF5D9FC" w14:textId="77777777" w:rsidR="00B2135C" w:rsidRDefault="00000000">
            <w:pPr>
              <w:keepNext/>
              <w:keepLines/>
              <w:spacing w:after="0" w:line="240" w:lineRule="auto"/>
              <w:jc w:val="right"/>
            </w:pPr>
            <w:r>
              <w:rPr>
                <w:sz w:val="18"/>
              </w:rPr>
              <w:t>2.175,04</w:t>
            </w:r>
          </w:p>
        </w:tc>
        <w:tc>
          <w:tcPr>
            <w:tcW w:w="700" w:type="dxa"/>
            <w:tcMar>
              <w:top w:w="0" w:type="dxa"/>
              <w:bottom w:w="0" w:type="dxa"/>
            </w:tcMar>
            <w:vAlign w:val="center"/>
          </w:tcPr>
          <w:p w14:paraId="44B88352" w14:textId="77777777" w:rsidR="00B2135C" w:rsidRDefault="00000000">
            <w:pPr>
              <w:keepNext/>
              <w:keepLines/>
              <w:spacing w:after="0" w:line="240" w:lineRule="auto"/>
              <w:jc w:val="right"/>
            </w:pPr>
            <w:r>
              <w:rPr>
                <w:sz w:val="18"/>
              </w:rPr>
              <w:t>3,8</w:t>
            </w:r>
          </w:p>
        </w:tc>
      </w:tr>
    </w:tbl>
    <w:p w14:paraId="1822CEC5" w14:textId="77777777" w:rsidR="00B2135C" w:rsidRDefault="00B2135C">
      <w:pPr>
        <w:spacing w:after="0"/>
      </w:pPr>
    </w:p>
    <w:p w14:paraId="0A630741" w14:textId="77777777" w:rsidR="00B2135C" w:rsidRDefault="00000000" w:rsidP="00C2115A">
      <w:pPr>
        <w:jc w:val="both"/>
      </w:pPr>
      <w:r>
        <w:t>Ostvareno odstupanje proizlazi iz stvarnih potreba poslovanja.</w:t>
      </w:r>
    </w:p>
    <w:p w14:paraId="1419F81F" w14:textId="77777777" w:rsidR="00B2135C" w:rsidRDefault="00B2135C"/>
    <w:p w14:paraId="435076E2" w14:textId="77777777" w:rsidR="00B2135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523E6F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ED89BB"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C9854E"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BC7EB"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16BC2"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8FCA7F"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581585" w14:textId="77777777" w:rsidR="00B2135C" w:rsidRDefault="00000000">
            <w:pPr>
              <w:keepNext/>
              <w:keepLines/>
              <w:spacing w:after="0" w:line="240" w:lineRule="auto"/>
              <w:jc w:val="center"/>
            </w:pPr>
            <w:r>
              <w:rPr>
                <w:b/>
                <w:sz w:val="18"/>
              </w:rPr>
              <w:t>Indeks (%)</w:t>
            </w:r>
          </w:p>
        </w:tc>
      </w:tr>
      <w:tr w:rsidR="00B2135C" w14:paraId="59D5E9FF" w14:textId="77777777">
        <w:tblPrEx>
          <w:tblCellMar>
            <w:top w:w="0" w:type="dxa"/>
            <w:bottom w:w="0" w:type="dxa"/>
          </w:tblCellMar>
        </w:tblPrEx>
        <w:trPr>
          <w:cantSplit/>
          <w:trHeight w:val="560"/>
        </w:trPr>
        <w:tc>
          <w:tcPr>
            <w:tcW w:w="700" w:type="dxa"/>
            <w:tcMar>
              <w:top w:w="0" w:type="dxa"/>
              <w:bottom w:w="0" w:type="dxa"/>
            </w:tcMar>
            <w:vAlign w:val="center"/>
          </w:tcPr>
          <w:p w14:paraId="404F09F4" w14:textId="77777777" w:rsidR="00B2135C" w:rsidRDefault="00000000">
            <w:pPr>
              <w:keepNext/>
              <w:keepLines/>
              <w:spacing w:after="0" w:line="240" w:lineRule="auto"/>
            </w:pPr>
            <w:r>
              <w:rPr>
                <w:sz w:val="18"/>
              </w:rPr>
              <w:t>4224</w:t>
            </w:r>
          </w:p>
        </w:tc>
        <w:tc>
          <w:tcPr>
            <w:tcW w:w="3180" w:type="dxa"/>
            <w:tcMar>
              <w:top w:w="0" w:type="dxa"/>
              <w:bottom w:w="0" w:type="dxa"/>
            </w:tcMar>
            <w:vAlign w:val="center"/>
          </w:tcPr>
          <w:p w14:paraId="333DA1C5" w14:textId="77777777" w:rsidR="00B2135C" w:rsidRDefault="00000000">
            <w:pPr>
              <w:keepNext/>
              <w:keepLines/>
              <w:spacing w:after="0" w:line="240" w:lineRule="auto"/>
            </w:pPr>
            <w:r>
              <w:rPr>
                <w:sz w:val="18"/>
              </w:rPr>
              <w:t>Medicinska i laboratorijska oprema</w:t>
            </w:r>
          </w:p>
        </w:tc>
        <w:tc>
          <w:tcPr>
            <w:tcW w:w="700" w:type="dxa"/>
            <w:tcMar>
              <w:top w:w="0" w:type="dxa"/>
              <w:bottom w:w="0" w:type="dxa"/>
            </w:tcMar>
            <w:vAlign w:val="center"/>
          </w:tcPr>
          <w:p w14:paraId="5E73CB05" w14:textId="77777777" w:rsidR="00B2135C" w:rsidRDefault="00000000">
            <w:pPr>
              <w:keepNext/>
              <w:keepLines/>
              <w:spacing w:after="0" w:line="240" w:lineRule="auto"/>
            </w:pPr>
            <w:r>
              <w:rPr>
                <w:sz w:val="18"/>
              </w:rPr>
              <w:t>4224</w:t>
            </w:r>
          </w:p>
        </w:tc>
        <w:tc>
          <w:tcPr>
            <w:tcW w:w="1860" w:type="dxa"/>
            <w:tcMar>
              <w:top w:w="0" w:type="dxa"/>
              <w:bottom w:w="0" w:type="dxa"/>
            </w:tcMar>
            <w:vAlign w:val="center"/>
          </w:tcPr>
          <w:p w14:paraId="1B407176" w14:textId="77777777" w:rsidR="00B2135C" w:rsidRDefault="00000000">
            <w:pPr>
              <w:keepNext/>
              <w:keepLines/>
              <w:spacing w:after="0" w:line="240" w:lineRule="auto"/>
              <w:jc w:val="right"/>
            </w:pPr>
            <w:r>
              <w:rPr>
                <w:sz w:val="18"/>
              </w:rPr>
              <w:t>53.235,27</w:t>
            </w:r>
          </w:p>
        </w:tc>
        <w:tc>
          <w:tcPr>
            <w:tcW w:w="1860" w:type="dxa"/>
            <w:tcMar>
              <w:top w:w="0" w:type="dxa"/>
              <w:bottom w:w="0" w:type="dxa"/>
            </w:tcMar>
            <w:vAlign w:val="center"/>
          </w:tcPr>
          <w:p w14:paraId="124D6BE6" w14:textId="77777777" w:rsidR="00B2135C" w:rsidRDefault="00000000">
            <w:pPr>
              <w:keepNext/>
              <w:keepLines/>
              <w:spacing w:after="0" w:line="240" w:lineRule="auto"/>
              <w:jc w:val="right"/>
            </w:pPr>
            <w:r>
              <w:rPr>
                <w:sz w:val="18"/>
              </w:rPr>
              <w:t>121.904,78</w:t>
            </w:r>
          </w:p>
        </w:tc>
        <w:tc>
          <w:tcPr>
            <w:tcW w:w="700" w:type="dxa"/>
            <w:tcMar>
              <w:top w:w="0" w:type="dxa"/>
              <w:bottom w:w="0" w:type="dxa"/>
            </w:tcMar>
            <w:vAlign w:val="center"/>
          </w:tcPr>
          <w:p w14:paraId="3F311A97" w14:textId="77777777" w:rsidR="00B2135C" w:rsidRDefault="00000000">
            <w:pPr>
              <w:keepNext/>
              <w:keepLines/>
              <w:spacing w:after="0" w:line="240" w:lineRule="auto"/>
              <w:jc w:val="right"/>
            </w:pPr>
            <w:r>
              <w:rPr>
                <w:sz w:val="18"/>
              </w:rPr>
              <w:t>229,0</w:t>
            </w:r>
          </w:p>
        </w:tc>
      </w:tr>
    </w:tbl>
    <w:p w14:paraId="7E7EBEFD" w14:textId="77777777" w:rsidR="00B2135C" w:rsidRDefault="00B2135C">
      <w:pPr>
        <w:spacing w:after="0"/>
      </w:pPr>
    </w:p>
    <w:p w14:paraId="5F71EA91" w14:textId="77777777" w:rsidR="00B2135C" w:rsidRDefault="00000000" w:rsidP="00C2115A">
      <w:pPr>
        <w:jc w:val="both"/>
      </w:pPr>
      <w:r>
        <w:t xml:space="preserve">Povećanje troškova odnosi se na nabavu opreme za potrebe fizikalne terapije te na </w:t>
      </w:r>
      <w:proofErr w:type="spellStart"/>
      <w:r>
        <w:t>zanavljanje</w:t>
      </w:r>
      <w:proofErr w:type="spellEnd"/>
      <w:r>
        <w:t xml:space="preserve"> dotrajalih kreveta i noćnih ormarića na bolničkim odjelima. 91 % ostvarenih troškova refundirano je iz sredstava decentraliziranih funkcija.</w:t>
      </w:r>
    </w:p>
    <w:p w14:paraId="3040A3DA" w14:textId="77777777" w:rsidR="00B2135C" w:rsidRDefault="00B2135C"/>
    <w:p w14:paraId="3ADAC09B" w14:textId="77777777" w:rsidR="00B2135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136644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1BCF0D"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E31045"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F40C4C"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8824C"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FB6A6A"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2E1EF3" w14:textId="77777777" w:rsidR="00B2135C" w:rsidRDefault="00000000">
            <w:pPr>
              <w:keepNext/>
              <w:keepLines/>
              <w:spacing w:after="0" w:line="240" w:lineRule="auto"/>
              <w:jc w:val="center"/>
            </w:pPr>
            <w:r>
              <w:rPr>
                <w:b/>
                <w:sz w:val="18"/>
              </w:rPr>
              <w:t>Indeks (%)</w:t>
            </w:r>
          </w:p>
        </w:tc>
      </w:tr>
      <w:tr w:rsidR="00B2135C" w14:paraId="5E9FF51C" w14:textId="77777777">
        <w:tblPrEx>
          <w:tblCellMar>
            <w:top w:w="0" w:type="dxa"/>
            <w:bottom w:w="0" w:type="dxa"/>
          </w:tblCellMar>
        </w:tblPrEx>
        <w:trPr>
          <w:cantSplit/>
          <w:trHeight w:val="560"/>
        </w:trPr>
        <w:tc>
          <w:tcPr>
            <w:tcW w:w="700" w:type="dxa"/>
            <w:tcMar>
              <w:top w:w="0" w:type="dxa"/>
              <w:bottom w:w="0" w:type="dxa"/>
            </w:tcMar>
            <w:vAlign w:val="center"/>
          </w:tcPr>
          <w:p w14:paraId="5552E590" w14:textId="77777777" w:rsidR="00B2135C" w:rsidRDefault="00000000">
            <w:pPr>
              <w:keepNext/>
              <w:keepLines/>
              <w:spacing w:after="0" w:line="240" w:lineRule="auto"/>
            </w:pPr>
            <w:r>
              <w:rPr>
                <w:sz w:val="18"/>
              </w:rPr>
              <w:t>4227</w:t>
            </w:r>
          </w:p>
        </w:tc>
        <w:tc>
          <w:tcPr>
            <w:tcW w:w="3180" w:type="dxa"/>
            <w:tcMar>
              <w:top w:w="0" w:type="dxa"/>
              <w:bottom w:w="0" w:type="dxa"/>
            </w:tcMar>
            <w:vAlign w:val="center"/>
          </w:tcPr>
          <w:p w14:paraId="683DB661" w14:textId="77777777" w:rsidR="00B2135C"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28A84C0" w14:textId="77777777" w:rsidR="00B2135C" w:rsidRDefault="00000000">
            <w:pPr>
              <w:keepNext/>
              <w:keepLines/>
              <w:spacing w:after="0" w:line="240" w:lineRule="auto"/>
            </w:pPr>
            <w:r>
              <w:rPr>
                <w:sz w:val="18"/>
              </w:rPr>
              <w:t>4227</w:t>
            </w:r>
          </w:p>
        </w:tc>
        <w:tc>
          <w:tcPr>
            <w:tcW w:w="1860" w:type="dxa"/>
            <w:tcMar>
              <w:top w:w="0" w:type="dxa"/>
              <w:bottom w:w="0" w:type="dxa"/>
            </w:tcMar>
            <w:vAlign w:val="center"/>
          </w:tcPr>
          <w:p w14:paraId="3713879A" w14:textId="77777777" w:rsidR="00B2135C" w:rsidRDefault="00000000">
            <w:pPr>
              <w:keepNext/>
              <w:keepLines/>
              <w:spacing w:after="0" w:line="240" w:lineRule="auto"/>
              <w:jc w:val="right"/>
            </w:pPr>
            <w:r>
              <w:rPr>
                <w:sz w:val="18"/>
              </w:rPr>
              <w:t>59.170,05</w:t>
            </w:r>
          </w:p>
        </w:tc>
        <w:tc>
          <w:tcPr>
            <w:tcW w:w="1860" w:type="dxa"/>
            <w:tcMar>
              <w:top w:w="0" w:type="dxa"/>
              <w:bottom w:w="0" w:type="dxa"/>
            </w:tcMar>
            <w:vAlign w:val="center"/>
          </w:tcPr>
          <w:p w14:paraId="0345EE39" w14:textId="77777777" w:rsidR="00B2135C" w:rsidRDefault="00000000">
            <w:pPr>
              <w:keepNext/>
              <w:keepLines/>
              <w:spacing w:after="0" w:line="240" w:lineRule="auto"/>
              <w:jc w:val="right"/>
            </w:pPr>
            <w:r>
              <w:rPr>
                <w:sz w:val="18"/>
              </w:rPr>
              <w:t>40.929,09</w:t>
            </w:r>
          </w:p>
        </w:tc>
        <w:tc>
          <w:tcPr>
            <w:tcW w:w="700" w:type="dxa"/>
            <w:tcMar>
              <w:top w:w="0" w:type="dxa"/>
              <w:bottom w:w="0" w:type="dxa"/>
            </w:tcMar>
            <w:vAlign w:val="center"/>
          </w:tcPr>
          <w:p w14:paraId="2CD0BAEE" w14:textId="77777777" w:rsidR="00B2135C" w:rsidRDefault="00000000">
            <w:pPr>
              <w:keepNext/>
              <w:keepLines/>
              <w:spacing w:after="0" w:line="240" w:lineRule="auto"/>
              <w:jc w:val="right"/>
            </w:pPr>
            <w:r>
              <w:rPr>
                <w:sz w:val="18"/>
              </w:rPr>
              <w:t>69,2</w:t>
            </w:r>
          </w:p>
        </w:tc>
      </w:tr>
    </w:tbl>
    <w:p w14:paraId="398B09F1" w14:textId="77777777" w:rsidR="00B2135C" w:rsidRDefault="00B2135C">
      <w:pPr>
        <w:spacing w:after="0"/>
      </w:pPr>
    </w:p>
    <w:p w14:paraId="26092311" w14:textId="77777777" w:rsidR="00B2135C" w:rsidRDefault="00000000" w:rsidP="00C2115A">
      <w:pPr>
        <w:jc w:val="both"/>
      </w:pPr>
      <w:r>
        <w:t>Ostvareno odstupanje proizlazi iz stvarnih potreba poslovanja.</w:t>
      </w:r>
    </w:p>
    <w:p w14:paraId="479305B6" w14:textId="77777777" w:rsidR="00B2135C" w:rsidRDefault="00B2135C"/>
    <w:p w14:paraId="6E4EFC58" w14:textId="77777777" w:rsidR="00B2135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1C60BE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33A504"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4E7DC5"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3BB6F3"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E64D96"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3B4E01"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2C6664" w14:textId="77777777" w:rsidR="00B2135C" w:rsidRDefault="00000000">
            <w:pPr>
              <w:keepNext/>
              <w:keepLines/>
              <w:spacing w:after="0" w:line="240" w:lineRule="auto"/>
              <w:jc w:val="center"/>
            </w:pPr>
            <w:r>
              <w:rPr>
                <w:b/>
                <w:sz w:val="18"/>
              </w:rPr>
              <w:t>Indeks (%)</w:t>
            </w:r>
          </w:p>
        </w:tc>
      </w:tr>
      <w:tr w:rsidR="00B2135C" w14:paraId="72342C1F" w14:textId="77777777">
        <w:tblPrEx>
          <w:tblCellMar>
            <w:top w:w="0" w:type="dxa"/>
            <w:bottom w:w="0" w:type="dxa"/>
          </w:tblCellMar>
        </w:tblPrEx>
        <w:trPr>
          <w:cantSplit/>
          <w:trHeight w:val="560"/>
        </w:trPr>
        <w:tc>
          <w:tcPr>
            <w:tcW w:w="700" w:type="dxa"/>
            <w:tcMar>
              <w:top w:w="0" w:type="dxa"/>
              <w:bottom w:w="0" w:type="dxa"/>
            </w:tcMar>
            <w:vAlign w:val="center"/>
          </w:tcPr>
          <w:p w14:paraId="4680D7F5" w14:textId="77777777" w:rsidR="00B2135C" w:rsidRDefault="00000000">
            <w:pPr>
              <w:keepNext/>
              <w:keepLines/>
              <w:spacing w:after="0" w:line="240" w:lineRule="auto"/>
            </w:pPr>
            <w:r>
              <w:rPr>
                <w:sz w:val="18"/>
              </w:rPr>
              <w:t>451</w:t>
            </w:r>
          </w:p>
        </w:tc>
        <w:tc>
          <w:tcPr>
            <w:tcW w:w="3180" w:type="dxa"/>
            <w:tcMar>
              <w:top w:w="0" w:type="dxa"/>
              <w:bottom w:w="0" w:type="dxa"/>
            </w:tcMar>
            <w:vAlign w:val="center"/>
          </w:tcPr>
          <w:p w14:paraId="57E9A04E" w14:textId="77777777" w:rsidR="00B2135C"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38B7A30F" w14:textId="77777777" w:rsidR="00B2135C" w:rsidRDefault="00000000">
            <w:pPr>
              <w:keepNext/>
              <w:keepLines/>
              <w:spacing w:after="0" w:line="240" w:lineRule="auto"/>
            </w:pPr>
            <w:r>
              <w:rPr>
                <w:sz w:val="18"/>
              </w:rPr>
              <w:t>451</w:t>
            </w:r>
          </w:p>
        </w:tc>
        <w:tc>
          <w:tcPr>
            <w:tcW w:w="1860" w:type="dxa"/>
            <w:tcMar>
              <w:top w:w="0" w:type="dxa"/>
              <w:bottom w:w="0" w:type="dxa"/>
            </w:tcMar>
            <w:vAlign w:val="center"/>
          </w:tcPr>
          <w:p w14:paraId="77F73E4D" w14:textId="77777777" w:rsidR="00B2135C" w:rsidRDefault="00000000">
            <w:pPr>
              <w:keepNext/>
              <w:keepLines/>
              <w:spacing w:after="0" w:line="240" w:lineRule="auto"/>
              <w:jc w:val="right"/>
            </w:pPr>
            <w:r>
              <w:rPr>
                <w:sz w:val="18"/>
              </w:rPr>
              <w:t>59.461,33</w:t>
            </w:r>
          </w:p>
        </w:tc>
        <w:tc>
          <w:tcPr>
            <w:tcW w:w="1860" w:type="dxa"/>
            <w:tcMar>
              <w:top w:w="0" w:type="dxa"/>
              <w:bottom w:w="0" w:type="dxa"/>
            </w:tcMar>
            <w:vAlign w:val="center"/>
          </w:tcPr>
          <w:p w14:paraId="631E1797" w14:textId="77777777" w:rsidR="00B2135C" w:rsidRDefault="00000000">
            <w:pPr>
              <w:keepNext/>
              <w:keepLines/>
              <w:spacing w:after="0" w:line="240" w:lineRule="auto"/>
              <w:jc w:val="right"/>
            </w:pPr>
            <w:r>
              <w:rPr>
                <w:sz w:val="18"/>
              </w:rPr>
              <w:t>618.133,03</w:t>
            </w:r>
          </w:p>
        </w:tc>
        <w:tc>
          <w:tcPr>
            <w:tcW w:w="700" w:type="dxa"/>
            <w:tcMar>
              <w:top w:w="0" w:type="dxa"/>
              <w:bottom w:w="0" w:type="dxa"/>
            </w:tcMar>
            <w:vAlign w:val="center"/>
          </w:tcPr>
          <w:p w14:paraId="147BF35E" w14:textId="77777777" w:rsidR="00B2135C" w:rsidRDefault="00000000">
            <w:pPr>
              <w:keepNext/>
              <w:keepLines/>
              <w:spacing w:after="0" w:line="240" w:lineRule="auto"/>
              <w:jc w:val="right"/>
            </w:pPr>
            <w:r>
              <w:rPr>
                <w:sz w:val="18"/>
              </w:rPr>
              <w:t>1039,6</w:t>
            </w:r>
          </w:p>
        </w:tc>
      </w:tr>
    </w:tbl>
    <w:p w14:paraId="568D8C55" w14:textId="77777777" w:rsidR="00B2135C" w:rsidRDefault="00B2135C" w:rsidP="00C2115A">
      <w:pPr>
        <w:spacing w:after="0"/>
        <w:jc w:val="both"/>
      </w:pPr>
    </w:p>
    <w:p w14:paraId="0F4D8873" w14:textId="77777777" w:rsidR="00B2135C" w:rsidRDefault="00000000" w:rsidP="00C2115A">
      <w:pPr>
        <w:jc w:val="both"/>
      </w:pPr>
      <w:r>
        <w:t>Navedeno odstupanje odnosi se na troškove projekta WELLTUR NAFTALAN, koji se financira iz sredstava Nacionalnog plana oporavka i otpornosti (NPOO) i osnivača Zagrebačke županije.</w:t>
      </w:r>
    </w:p>
    <w:p w14:paraId="2C786903" w14:textId="77777777" w:rsidR="00B2135C" w:rsidRDefault="00B2135C"/>
    <w:p w14:paraId="22616BA3" w14:textId="77777777" w:rsidR="00B2135C" w:rsidRDefault="00000000">
      <w:pPr>
        <w:keepNext/>
        <w:spacing w:line="240" w:lineRule="auto"/>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31F23A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6B1400"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EAF7ED"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361438"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B26902"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734233"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BF7B84" w14:textId="77777777" w:rsidR="00B2135C" w:rsidRDefault="00000000">
            <w:pPr>
              <w:keepNext/>
              <w:keepLines/>
              <w:spacing w:after="0" w:line="240" w:lineRule="auto"/>
              <w:jc w:val="center"/>
            </w:pPr>
            <w:r>
              <w:rPr>
                <w:b/>
                <w:sz w:val="18"/>
              </w:rPr>
              <w:t>Indeks (%)</w:t>
            </w:r>
          </w:p>
        </w:tc>
      </w:tr>
      <w:tr w:rsidR="00B2135C" w14:paraId="76F07B32" w14:textId="77777777">
        <w:tblPrEx>
          <w:tblCellMar>
            <w:top w:w="0" w:type="dxa"/>
            <w:bottom w:w="0" w:type="dxa"/>
          </w:tblCellMar>
        </w:tblPrEx>
        <w:trPr>
          <w:cantSplit/>
          <w:trHeight w:val="560"/>
        </w:trPr>
        <w:tc>
          <w:tcPr>
            <w:tcW w:w="700" w:type="dxa"/>
            <w:tcMar>
              <w:top w:w="0" w:type="dxa"/>
              <w:bottom w:w="0" w:type="dxa"/>
            </w:tcMar>
            <w:vAlign w:val="center"/>
          </w:tcPr>
          <w:p w14:paraId="34B6D416" w14:textId="77777777" w:rsidR="00B2135C" w:rsidRDefault="00000000">
            <w:pPr>
              <w:keepNext/>
              <w:keepLines/>
              <w:spacing w:after="0" w:line="240" w:lineRule="auto"/>
            </w:pPr>
            <w:r>
              <w:rPr>
                <w:sz w:val="18"/>
              </w:rPr>
              <w:t>63414</w:t>
            </w:r>
          </w:p>
        </w:tc>
        <w:tc>
          <w:tcPr>
            <w:tcW w:w="3180" w:type="dxa"/>
            <w:tcMar>
              <w:top w:w="0" w:type="dxa"/>
              <w:bottom w:w="0" w:type="dxa"/>
            </w:tcMar>
            <w:vAlign w:val="center"/>
          </w:tcPr>
          <w:p w14:paraId="64F32DF3" w14:textId="77777777" w:rsidR="00B2135C" w:rsidRDefault="00000000">
            <w:pPr>
              <w:keepNext/>
              <w:keepLines/>
              <w:spacing w:after="0" w:line="240" w:lineRule="auto"/>
            </w:pPr>
            <w:r>
              <w:rPr>
                <w:sz w:val="18"/>
              </w:rPr>
              <w:t>Tekuće pomoći od HZMO-a, HZZ-a i HZZO-a</w:t>
            </w:r>
          </w:p>
        </w:tc>
        <w:tc>
          <w:tcPr>
            <w:tcW w:w="700" w:type="dxa"/>
            <w:tcMar>
              <w:top w:w="0" w:type="dxa"/>
              <w:bottom w:w="0" w:type="dxa"/>
            </w:tcMar>
            <w:vAlign w:val="center"/>
          </w:tcPr>
          <w:p w14:paraId="6036BAF0" w14:textId="77777777" w:rsidR="00B2135C" w:rsidRDefault="00000000">
            <w:pPr>
              <w:keepNext/>
              <w:keepLines/>
              <w:spacing w:after="0" w:line="240" w:lineRule="auto"/>
            </w:pPr>
            <w:r>
              <w:rPr>
                <w:sz w:val="18"/>
              </w:rPr>
              <w:t>63414</w:t>
            </w:r>
          </w:p>
        </w:tc>
        <w:tc>
          <w:tcPr>
            <w:tcW w:w="1860" w:type="dxa"/>
            <w:tcMar>
              <w:top w:w="0" w:type="dxa"/>
              <w:bottom w:w="0" w:type="dxa"/>
            </w:tcMar>
            <w:vAlign w:val="center"/>
          </w:tcPr>
          <w:p w14:paraId="2EAE661A" w14:textId="77777777" w:rsidR="00B2135C" w:rsidRDefault="00000000">
            <w:pPr>
              <w:keepNext/>
              <w:keepLines/>
              <w:spacing w:after="0" w:line="240" w:lineRule="auto"/>
              <w:jc w:val="right"/>
            </w:pPr>
            <w:r>
              <w:rPr>
                <w:sz w:val="18"/>
              </w:rPr>
              <w:t>0,00</w:t>
            </w:r>
          </w:p>
        </w:tc>
        <w:tc>
          <w:tcPr>
            <w:tcW w:w="1860" w:type="dxa"/>
            <w:tcMar>
              <w:top w:w="0" w:type="dxa"/>
              <w:bottom w:w="0" w:type="dxa"/>
            </w:tcMar>
            <w:vAlign w:val="center"/>
          </w:tcPr>
          <w:p w14:paraId="738FAFE9" w14:textId="77777777" w:rsidR="00B2135C" w:rsidRDefault="00000000">
            <w:pPr>
              <w:keepNext/>
              <w:keepLines/>
              <w:spacing w:after="0" w:line="240" w:lineRule="auto"/>
              <w:jc w:val="right"/>
            </w:pPr>
            <w:r>
              <w:rPr>
                <w:sz w:val="18"/>
              </w:rPr>
              <w:t>72.106,66</w:t>
            </w:r>
          </w:p>
        </w:tc>
        <w:tc>
          <w:tcPr>
            <w:tcW w:w="700" w:type="dxa"/>
            <w:tcMar>
              <w:top w:w="0" w:type="dxa"/>
              <w:bottom w:w="0" w:type="dxa"/>
            </w:tcMar>
            <w:vAlign w:val="center"/>
          </w:tcPr>
          <w:p w14:paraId="6A5C6DE3" w14:textId="77777777" w:rsidR="00B2135C" w:rsidRDefault="00000000">
            <w:pPr>
              <w:keepNext/>
              <w:keepLines/>
              <w:spacing w:after="0" w:line="240" w:lineRule="auto"/>
              <w:jc w:val="right"/>
            </w:pPr>
            <w:r>
              <w:rPr>
                <w:sz w:val="18"/>
              </w:rPr>
              <w:t>-</w:t>
            </w:r>
          </w:p>
        </w:tc>
      </w:tr>
    </w:tbl>
    <w:p w14:paraId="02B33649" w14:textId="77777777" w:rsidR="00B2135C" w:rsidRDefault="00B2135C">
      <w:pPr>
        <w:spacing w:after="0"/>
      </w:pPr>
    </w:p>
    <w:p w14:paraId="30365195" w14:textId="77777777" w:rsidR="00B2135C" w:rsidRDefault="00000000" w:rsidP="00C2115A">
      <w:pPr>
        <w:jc w:val="both"/>
      </w:pPr>
      <w:r>
        <w:t>Odstupanje se odnosi na sredstva Hrvatskog zavoda za zdravstveno osiguranje za refundaciju plaće pripravnika. Do sada su sredstva bila osiguravana od strane Hrvatskog zavoda za zapošljavanje te su bila evidentirana na za to pripadajućem kontu.</w:t>
      </w:r>
    </w:p>
    <w:p w14:paraId="2EE48A6A" w14:textId="77777777" w:rsidR="00B2135C" w:rsidRDefault="00B2135C"/>
    <w:p w14:paraId="109EC15A" w14:textId="77777777" w:rsidR="00B2135C" w:rsidRDefault="00000000">
      <w:pPr>
        <w:keepNext/>
        <w:spacing w:line="240" w:lineRule="auto"/>
        <w:jc w:val="center"/>
      </w:pPr>
      <w:r>
        <w:rPr>
          <w:b/>
          <w:sz w:val="28"/>
        </w:rPr>
        <w:t>Bilanca</w:t>
      </w:r>
    </w:p>
    <w:p w14:paraId="356C600E" w14:textId="77777777" w:rsidR="00B2135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2D114E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ADC212"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FADCDE"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F8108E"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A0049C" w14:textId="77777777" w:rsidR="00B213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FDD932A" w14:textId="77777777" w:rsidR="00B213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637877" w14:textId="77777777" w:rsidR="00B2135C" w:rsidRDefault="00000000">
            <w:pPr>
              <w:keepNext/>
              <w:keepLines/>
              <w:spacing w:after="0" w:line="240" w:lineRule="auto"/>
              <w:jc w:val="center"/>
            </w:pPr>
            <w:r>
              <w:rPr>
                <w:b/>
                <w:sz w:val="18"/>
              </w:rPr>
              <w:t>Indeks (%)</w:t>
            </w:r>
          </w:p>
        </w:tc>
      </w:tr>
      <w:tr w:rsidR="00B2135C" w14:paraId="6978C91D" w14:textId="77777777">
        <w:tblPrEx>
          <w:tblCellMar>
            <w:top w:w="0" w:type="dxa"/>
            <w:bottom w:w="0" w:type="dxa"/>
          </w:tblCellMar>
        </w:tblPrEx>
        <w:trPr>
          <w:cantSplit/>
          <w:trHeight w:val="560"/>
        </w:trPr>
        <w:tc>
          <w:tcPr>
            <w:tcW w:w="700" w:type="dxa"/>
            <w:tcMar>
              <w:top w:w="0" w:type="dxa"/>
              <w:bottom w:w="0" w:type="dxa"/>
            </w:tcMar>
            <w:vAlign w:val="center"/>
          </w:tcPr>
          <w:p w14:paraId="0C02A227" w14:textId="77777777" w:rsidR="00B2135C" w:rsidRDefault="00000000">
            <w:pPr>
              <w:keepNext/>
              <w:keepLines/>
              <w:spacing w:after="0" w:line="240" w:lineRule="auto"/>
            </w:pPr>
            <w:r>
              <w:rPr>
                <w:sz w:val="18"/>
              </w:rPr>
              <w:t>0262</w:t>
            </w:r>
          </w:p>
        </w:tc>
        <w:tc>
          <w:tcPr>
            <w:tcW w:w="3180" w:type="dxa"/>
            <w:tcMar>
              <w:top w:w="0" w:type="dxa"/>
              <w:bottom w:w="0" w:type="dxa"/>
            </w:tcMar>
            <w:vAlign w:val="center"/>
          </w:tcPr>
          <w:p w14:paraId="5C136AF6" w14:textId="77777777" w:rsidR="00B2135C"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6FFB536E" w14:textId="77777777" w:rsidR="00B2135C" w:rsidRDefault="00000000">
            <w:pPr>
              <w:keepNext/>
              <w:keepLines/>
              <w:spacing w:after="0" w:line="240" w:lineRule="auto"/>
            </w:pPr>
            <w:r>
              <w:rPr>
                <w:sz w:val="18"/>
              </w:rPr>
              <w:t>0262</w:t>
            </w:r>
          </w:p>
        </w:tc>
        <w:tc>
          <w:tcPr>
            <w:tcW w:w="1860" w:type="dxa"/>
            <w:tcMar>
              <w:top w:w="0" w:type="dxa"/>
              <w:bottom w:w="0" w:type="dxa"/>
            </w:tcMar>
            <w:vAlign w:val="center"/>
          </w:tcPr>
          <w:p w14:paraId="17BC8AAA" w14:textId="77777777" w:rsidR="00B2135C" w:rsidRDefault="00000000">
            <w:pPr>
              <w:keepNext/>
              <w:keepLines/>
              <w:spacing w:after="0" w:line="240" w:lineRule="auto"/>
              <w:jc w:val="right"/>
            </w:pPr>
            <w:r>
              <w:rPr>
                <w:sz w:val="18"/>
              </w:rPr>
              <w:t>83.596,47</w:t>
            </w:r>
          </w:p>
        </w:tc>
        <w:tc>
          <w:tcPr>
            <w:tcW w:w="1860" w:type="dxa"/>
            <w:tcMar>
              <w:top w:w="0" w:type="dxa"/>
              <w:bottom w:w="0" w:type="dxa"/>
            </w:tcMar>
            <w:vAlign w:val="center"/>
          </w:tcPr>
          <w:p w14:paraId="37205E38" w14:textId="77777777" w:rsidR="00B2135C" w:rsidRDefault="00000000">
            <w:pPr>
              <w:keepNext/>
              <w:keepLines/>
              <w:spacing w:after="0" w:line="240" w:lineRule="auto"/>
              <w:jc w:val="right"/>
            </w:pPr>
            <w:r>
              <w:rPr>
                <w:sz w:val="18"/>
              </w:rPr>
              <w:t>125.672,88</w:t>
            </w:r>
          </w:p>
        </w:tc>
        <w:tc>
          <w:tcPr>
            <w:tcW w:w="700" w:type="dxa"/>
            <w:tcMar>
              <w:top w:w="0" w:type="dxa"/>
              <w:bottom w:w="0" w:type="dxa"/>
            </w:tcMar>
            <w:vAlign w:val="center"/>
          </w:tcPr>
          <w:p w14:paraId="6FCB689A" w14:textId="77777777" w:rsidR="00B2135C" w:rsidRDefault="00000000">
            <w:pPr>
              <w:keepNext/>
              <w:keepLines/>
              <w:spacing w:after="0" w:line="240" w:lineRule="auto"/>
              <w:jc w:val="right"/>
            </w:pPr>
            <w:r>
              <w:rPr>
                <w:sz w:val="18"/>
              </w:rPr>
              <w:t>150,3</w:t>
            </w:r>
          </w:p>
        </w:tc>
      </w:tr>
    </w:tbl>
    <w:p w14:paraId="59C85066" w14:textId="77777777" w:rsidR="00B2135C" w:rsidRDefault="00B2135C">
      <w:pPr>
        <w:spacing w:after="0"/>
      </w:pPr>
    </w:p>
    <w:p w14:paraId="74C14459" w14:textId="3E435C32" w:rsidR="00B2135C" w:rsidRDefault="00000000" w:rsidP="00C2115A">
      <w:pPr>
        <w:jc w:val="both"/>
      </w:pPr>
      <w:r>
        <w:t>Navedeno odstupanje rezultat je provođenja aktivnosti unutar projekta WELLTUR NAFTALAN, čime se osigurao novi CRM digi</w:t>
      </w:r>
      <w:r w:rsidR="00C2115A">
        <w:t>t</w:t>
      </w:r>
      <w:r>
        <w:t xml:space="preserve">alni sustav i </w:t>
      </w:r>
      <w:proofErr w:type="spellStart"/>
      <w:r>
        <w:t>digitalizacijski</w:t>
      </w:r>
      <w:proofErr w:type="spellEnd"/>
      <w:r>
        <w:t xml:space="preserve"> rezervacijski sustav. </w:t>
      </w:r>
    </w:p>
    <w:p w14:paraId="35680EBB" w14:textId="77777777" w:rsidR="00B2135C" w:rsidRDefault="00B2135C"/>
    <w:p w14:paraId="7409F445" w14:textId="77777777" w:rsidR="00B2135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330B7E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ED0130"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536DAB"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33426"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149FE5" w14:textId="77777777" w:rsidR="00B213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470B67" w14:textId="77777777" w:rsidR="00B213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8D47E2" w14:textId="77777777" w:rsidR="00B2135C" w:rsidRDefault="00000000">
            <w:pPr>
              <w:keepNext/>
              <w:keepLines/>
              <w:spacing w:after="0" w:line="240" w:lineRule="auto"/>
              <w:jc w:val="center"/>
            </w:pPr>
            <w:r>
              <w:rPr>
                <w:b/>
                <w:sz w:val="18"/>
              </w:rPr>
              <w:t>Indeks (%)</w:t>
            </w:r>
          </w:p>
        </w:tc>
      </w:tr>
      <w:tr w:rsidR="00B2135C" w14:paraId="7AFE68F1" w14:textId="77777777">
        <w:tblPrEx>
          <w:tblCellMar>
            <w:top w:w="0" w:type="dxa"/>
            <w:bottom w:w="0" w:type="dxa"/>
          </w:tblCellMar>
        </w:tblPrEx>
        <w:trPr>
          <w:cantSplit/>
          <w:trHeight w:val="560"/>
        </w:trPr>
        <w:tc>
          <w:tcPr>
            <w:tcW w:w="700" w:type="dxa"/>
            <w:tcMar>
              <w:top w:w="0" w:type="dxa"/>
              <w:bottom w:w="0" w:type="dxa"/>
            </w:tcMar>
            <w:vAlign w:val="center"/>
          </w:tcPr>
          <w:p w14:paraId="5AF8F13D" w14:textId="77777777" w:rsidR="00B2135C" w:rsidRDefault="00000000">
            <w:pPr>
              <w:keepNext/>
              <w:keepLines/>
              <w:spacing w:after="0" w:line="240" w:lineRule="auto"/>
            </w:pPr>
            <w:r>
              <w:rPr>
                <w:sz w:val="18"/>
              </w:rPr>
              <w:t>1638</w:t>
            </w:r>
          </w:p>
        </w:tc>
        <w:tc>
          <w:tcPr>
            <w:tcW w:w="3180" w:type="dxa"/>
            <w:tcMar>
              <w:top w:w="0" w:type="dxa"/>
              <w:bottom w:w="0" w:type="dxa"/>
            </w:tcMar>
            <w:vAlign w:val="center"/>
          </w:tcPr>
          <w:p w14:paraId="1B4BA3E1" w14:textId="77777777" w:rsidR="00B2135C"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3FDAA5BC" w14:textId="77777777" w:rsidR="00B2135C" w:rsidRDefault="00000000">
            <w:pPr>
              <w:keepNext/>
              <w:keepLines/>
              <w:spacing w:after="0" w:line="240" w:lineRule="auto"/>
            </w:pPr>
            <w:r>
              <w:rPr>
                <w:sz w:val="18"/>
              </w:rPr>
              <w:t>1638</w:t>
            </w:r>
          </w:p>
        </w:tc>
        <w:tc>
          <w:tcPr>
            <w:tcW w:w="1860" w:type="dxa"/>
            <w:tcMar>
              <w:top w:w="0" w:type="dxa"/>
              <w:bottom w:w="0" w:type="dxa"/>
            </w:tcMar>
            <w:vAlign w:val="center"/>
          </w:tcPr>
          <w:p w14:paraId="42150393" w14:textId="77777777" w:rsidR="00B2135C" w:rsidRDefault="00000000">
            <w:pPr>
              <w:keepNext/>
              <w:keepLines/>
              <w:spacing w:after="0" w:line="240" w:lineRule="auto"/>
              <w:jc w:val="right"/>
            </w:pPr>
            <w:r>
              <w:rPr>
                <w:sz w:val="18"/>
              </w:rPr>
              <w:t>0,00</w:t>
            </w:r>
          </w:p>
        </w:tc>
        <w:tc>
          <w:tcPr>
            <w:tcW w:w="1860" w:type="dxa"/>
            <w:tcMar>
              <w:top w:w="0" w:type="dxa"/>
              <w:bottom w:w="0" w:type="dxa"/>
            </w:tcMar>
            <w:vAlign w:val="center"/>
          </w:tcPr>
          <w:p w14:paraId="3B36F5EB" w14:textId="77777777" w:rsidR="00B2135C" w:rsidRDefault="00000000">
            <w:pPr>
              <w:keepNext/>
              <w:keepLines/>
              <w:spacing w:after="0" w:line="240" w:lineRule="auto"/>
              <w:jc w:val="right"/>
            </w:pPr>
            <w:r>
              <w:rPr>
                <w:sz w:val="18"/>
              </w:rPr>
              <w:t>85.232,93</w:t>
            </w:r>
          </w:p>
        </w:tc>
        <w:tc>
          <w:tcPr>
            <w:tcW w:w="700" w:type="dxa"/>
            <w:tcMar>
              <w:top w:w="0" w:type="dxa"/>
              <w:bottom w:w="0" w:type="dxa"/>
            </w:tcMar>
            <w:vAlign w:val="center"/>
          </w:tcPr>
          <w:p w14:paraId="46851834" w14:textId="77777777" w:rsidR="00B2135C" w:rsidRDefault="00000000">
            <w:pPr>
              <w:keepNext/>
              <w:keepLines/>
              <w:spacing w:after="0" w:line="240" w:lineRule="auto"/>
              <w:jc w:val="right"/>
            </w:pPr>
            <w:r>
              <w:rPr>
                <w:sz w:val="18"/>
              </w:rPr>
              <w:t>-</w:t>
            </w:r>
          </w:p>
        </w:tc>
      </w:tr>
    </w:tbl>
    <w:p w14:paraId="0D0CCE87" w14:textId="77777777" w:rsidR="00B2135C" w:rsidRDefault="00B2135C">
      <w:pPr>
        <w:spacing w:after="0"/>
      </w:pPr>
    </w:p>
    <w:p w14:paraId="3F5BD6F4" w14:textId="77777777" w:rsidR="00B2135C" w:rsidRDefault="00000000" w:rsidP="00C2115A">
      <w:pPr>
        <w:jc w:val="both"/>
      </w:pPr>
      <w:r>
        <w:t>Odstupanje se bilježi na kontu potraživanja za pomoći temeljem prijenosa EU sredstva te je vezano uz zadnji ZNS predan u 2025. godini za projekt WELLTUR NAFTALAN, koji do kraja poslovne godine nije bio refundiran od strane SAFU-a.</w:t>
      </w:r>
    </w:p>
    <w:p w14:paraId="4152142D" w14:textId="77777777" w:rsidR="00B2135C" w:rsidRDefault="00B2135C"/>
    <w:p w14:paraId="04DCCB68" w14:textId="77777777" w:rsidR="00B2135C"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0249BE9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740C15"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00370D"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CDB1E"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7EEF3B" w14:textId="77777777" w:rsidR="00B213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AC8267" w14:textId="77777777" w:rsidR="00B213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136657" w14:textId="77777777" w:rsidR="00B2135C" w:rsidRDefault="00000000">
            <w:pPr>
              <w:keepNext/>
              <w:keepLines/>
              <w:spacing w:after="0" w:line="240" w:lineRule="auto"/>
              <w:jc w:val="center"/>
            </w:pPr>
            <w:r>
              <w:rPr>
                <w:b/>
                <w:sz w:val="18"/>
              </w:rPr>
              <w:t>Indeks (%)</w:t>
            </w:r>
          </w:p>
        </w:tc>
      </w:tr>
      <w:tr w:rsidR="00B2135C" w14:paraId="32D1C941" w14:textId="77777777">
        <w:tblPrEx>
          <w:tblCellMar>
            <w:top w:w="0" w:type="dxa"/>
            <w:bottom w:w="0" w:type="dxa"/>
          </w:tblCellMar>
        </w:tblPrEx>
        <w:trPr>
          <w:cantSplit/>
          <w:trHeight w:val="560"/>
        </w:trPr>
        <w:tc>
          <w:tcPr>
            <w:tcW w:w="700" w:type="dxa"/>
            <w:tcMar>
              <w:top w:w="0" w:type="dxa"/>
              <w:bottom w:w="0" w:type="dxa"/>
            </w:tcMar>
            <w:vAlign w:val="center"/>
          </w:tcPr>
          <w:p w14:paraId="6220ABE5" w14:textId="77777777" w:rsidR="00B2135C" w:rsidRDefault="00000000">
            <w:pPr>
              <w:keepNext/>
              <w:keepLines/>
              <w:spacing w:after="0" w:line="240" w:lineRule="auto"/>
            </w:pPr>
            <w:r>
              <w:rPr>
                <w:sz w:val="18"/>
              </w:rPr>
              <w:t>167</w:t>
            </w:r>
          </w:p>
        </w:tc>
        <w:tc>
          <w:tcPr>
            <w:tcW w:w="3180" w:type="dxa"/>
            <w:tcMar>
              <w:top w:w="0" w:type="dxa"/>
              <w:bottom w:w="0" w:type="dxa"/>
            </w:tcMar>
            <w:vAlign w:val="center"/>
          </w:tcPr>
          <w:p w14:paraId="1A6F6DA0" w14:textId="77777777" w:rsidR="00B2135C"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3FCD6027" w14:textId="77777777" w:rsidR="00B2135C" w:rsidRDefault="00000000">
            <w:pPr>
              <w:keepNext/>
              <w:keepLines/>
              <w:spacing w:after="0" w:line="240" w:lineRule="auto"/>
            </w:pPr>
            <w:r>
              <w:rPr>
                <w:sz w:val="18"/>
              </w:rPr>
              <w:t>167</w:t>
            </w:r>
          </w:p>
        </w:tc>
        <w:tc>
          <w:tcPr>
            <w:tcW w:w="1860" w:type="dxa"/>
            <w:tcMar>
              <w:top w:w="0" w:type="dxa"/>
              <w:bottom w:w="0" w:type="dxa"/>
            </w:tcMar>
            <w:vAlign w:val="center"/>
          </w:tcPr>
          <w:p w14:paraId="44EE8784" w14:textId="77777777" w:rsidR="00B2135C" w:rsidRDefault="00000000">
            <w:pPr>
              <w:keepNext/>
              <w:keepLines/>
              <w:spacing w:after="0" w:line="240" w:lineRule="auto"/>
              <w:jc w:val="right"/>
            </w:pPr>
            <w:r>
              <w:rPr>
                <w:sz w:val="18"/>
              </w:rPr>
              <w:t>7.428,11</w:t>
            </w:r>
          </w:p>
        </w:tc>
        <w:tc>
          <w:tcPr>
            <w:tcW w:w="1860" w:type="dxa"/>
            <w:tcMar>
              <w:top w:w="0" w:type="dxa"/>
              <w:bottom w:w="0" w:type="dxa"/>
            </w:tcMar>
            <w:vAlign w:val="center"/>
          </w:tcPr>
          <w:p w14:paraId="0DD1BA82" w14:textId="77777777" w:rsidR="00B2135C" w:rsidRDefault="00000000">
            <w:pPr>
              <w:keepNext/>
              <w:keepLines/>
              <w:spacing w:after="0" w:line="240" w:lineRule="auto"/>
              <w:jc w:val="right"/>
            </w:pPr>
            <w:r>
              <w:rPr>
                <w:sz w:val="18"/>
              </w:rPr>
              <w:t>60.599,66</w:t>
            </w:r>
          </w:p>
        </w:tc>
        <w:tc>
          <w:tcPr>
            <w:tcW w:w="700" w:type="dxa"/>
            <w:tcMar>
              <w:top w:w="0" w:type="dxa"/>
              <w:bottom w:w="0" w:type="dxa"/>
            </w:tcMar>
            <w:vAlign w:val="center"/>
          </w:tcPr>
          <w:p w14:paraId="41ECC1C0" w14:textId="77777777" w:rsidR="00B2135C" w:rsidRDefault="00000000">
            <w:pPr>
              <w:keepNext/>
              <w:keepLines/>
              <w:spacing w:after="0" w:line="240" w:lineRule="auto"/>
              <w:jc w:val="right"/>
            </w:pPr>
            <w:r>
              <w:rPr>
                <w:sz w:val="18"/>
              </w:rPr>
              <w:t>815,8</w:t>
            </w:r>
          </w:p>
        </w:tc>
      </w:tr>
    </w:tbl>
    <w:p w14:paraId="352288AC" w14:textId="77777777" w:rsidR="00B2135C" w:rsidRDefault="00B2135C">
      <w:pPr>
        <w:spacing w:after="0"/>
      </w:pPr>
    </w:p>
    <w:p w14:paraId="08E201F5" w14:textId="77777777" w:rsidR="00B2135C" w:rsidRDefault="00000000" w:rsidP="00C2115A">
      <w:pPr>
        <w:jc w:val="both"/>
      </w:pPr>
      <w:r>
        <w:lastRenderedPageBreak/>
        <w:t>Navedena potraživanja odnose se na sredstva Hrvatskog zavoda za zdravstveno osiguranje ostvarena prema Ugovoru o provođenju bolničko i specijalističko-konzilijarne zdravstvene zaštite, a koja nisu isplaćena do kraja 2025. godine.</w:t>
      </w:r>
    </w:p>
    <w:p w14:paraId="6171D4D1" w14:textId="77777777" w:rsidR="00B2135C" w:rsidRDefault="00B2135C"/>
    <w:p w14:paraId="66FE3455" w14:textId="77777777" w:rsidR="00B2135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6643C8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2A9BFD"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AAEFD19"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3066CC"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E47B39" w14:textId="77777777" w:rsidR="00B213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580EC0" w14:textId="77777777" w:rsidR="00B213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3ABBD0" w14:textId="77777777" w:rsidR="00B2135C" w:rsidRDefault="00000000">
            <w:pPr>
              <w:keepNext/>
              <w:keepLines/>
              <w:spacing w:after="0" w:line="240" w:lineRule="auto"/>
              <w:jc w:val="center"/>
            </w:pPr>
            <w:r>
              <w:rPr>
                <w:b/>
                <w:sz w:val="18"/>
              </w:rPr>
              <w:t>Indeks (%)</w:t>
            </w:r>
          </w:p>
        </w:tc>
      </w:tr>
      <w:tr w:rsidR="00B2135C" w14:paraId="49648204" w14:textId="77777777">
        <w:tblPrEx>
          <w:tblCellMar>
            <w:top w:w="0" w:type="dxa"/>
            <w:bottom w:w="0" w:type="dxa"/>
          </w:tblCellMar>
        </w:tblPrEx>
        <w:trPr>
          <w:cantSplit/>
          <w:trHeight w:val="560"/>
        </w:trPr>
        <w:tc>
          <w:tcPr>
            <w:tcW w:w="700" w:type="dxa"/>
            <w:tcMar>
              <w:top w:w="0" w:type="dxa"/>
              <w:bottom w:w="0" w:type="dxa"/>
            </w:tcMar>
            <w:vAlign w:val="center"/>
          </w:tcPr>
          <w:p w14:paraId="517AF05B" w14:textId="77777777" w:rsidR="00B2135C" w:rsidRDefault="00000000">
            <w:pPr>
              <w:keepNext/>
              <w:keepLines/>
              <w:spacing w:after="0" w:line="240" w:lineRule="auto"/>
            </w:pPr>
            <w:r>
              <w:rPr>
                <w:sz w:val="18"/>
              </w:rPr>
              <w:t>245</w:t>
            </w:r>
          </w:p>
        </w:tc>
        <w:tc>
          <w:tcPr>
            <w:tcW w:w="3180" w:type="dxa"/>
            <w:tcMar>
              <w:top w:w="0" w:type="dxa"/>
              <w:bottom w:w="0" w:type="dxa"/>
            </w:tcMar>
            <w:vAlign w:val="center"/>
          </w:tcPr>
          <w:p w14:paraId="7463C060" w14:textId="77777777" w:rsidR="00B2135C"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14:paraId="31D8239A" w14:textId="77777777" w:rsidR="00B2135C" w:rsidRDefault="00000000">
            <w:pPr>
              <w:keepNext/>
              <w:keepLines/>
              <w:spacing w:after="0" w:line="240" w:lineRule="auto"/>
            </w:pPr>
            <w:r>
              <w:rPr>
                <w:sz w:val="18"/>
              </w:rPr>
              <w:t>245</w:t>
            </w:r>
          </w:p>
        </w:tc>
        <w:tc>
          <w:tcPr>
            <w:tcW w:w="1860" w:type="dxa"/>
            <w:tcMar>
              <w:top w:w="0" w:type="dxa"/>
              <w:bottom w:w="0" w:type="dxa"/>
            </w:tcMar>
            <w:vAlign w:val="center"/>
          </w:tcPr>
          <w:p w14:paraId="4BDAA72F" w14:textId="77777777" w:rsidR="00B2135C" w:rsidRDefault="00000000">
            <w:pPr>
              <w:keepNext/>
              <w:keepLines/>
              <w:spacing w:after="0" w:line="240" w:lineRule="auto"/>
              <w:jc w:val="right"/>
            </w:pPr>
            <w:r>
              <w:rPr>
                <w:sz w:val="18"/>
              </w:rPr>
              <w:t>0,00</w:t>
            </w:r>
          </w:p>
        </w:tc>
        <w:tc>
          <w:tcPr>
            <w:tcW w:w="1860" w:type="dxa"/>
            <w:tcMar>
              <w:top w:w="0" w:type="dxa"/>
              <w:bottom w:w="0" w:type="dxa"/>
            </w:tcMar>
            <w:vAlign w:val="center"/>
          </w:tcPr>
          <w:p w14:paraId="1E4C808E" w14:textId="77777777" w:rsidR="00B2135C" w:rsidRDefault="00000000">
            <w:pPr>
              <w:keepNext/>
              <w:keepLines/>
              <w:spacing w:after="0" w:line="240" w:lineRule="auto"/>
              <w:jc w:val="right"/>
            </w:pPr>
            <w:r>
              <w:rPr>
                <w:sz w:val="18"/>
              </w:rPr>
              <w:t>151.630,74</w:t>
            </w:r>
          </w:p>
        </w:tc>
        <w:tc>
          <w:tcPr>
            <w:tcW w:w="700" w:type="dxa"/>
            <w:tcMar>
              <w:top w:w="0" w:type="dxa"/>
              <w:bottom w:w="0" w:type="dxa"/>
            </w:tcMar>
            <w:vAlign w:val="center"/>
          </w:tcPr>
          <w:p w14:paraId="77EC9030" w14:textId="77777777" w:rsidR="00B2135C" w:rsidRDefault="00000000">
            <w:pPr>
              <w:keepNext/>
              <w:keepLines/>
              <w:spacing w:after="0" w:line="240" w:lineRule="auto"/>
              <w:jc w:val="right"/>
            </w:pPr>
            <w:r>
              <w:rPr>
                <w:sz w:val="18"/>
              </w:rPr>
              <w:t>-</w:t>
            </w:r>
          </w:p>
        </w:tc>
      </w:tr>
    </w:tbl>
    <w:p w14:paraId="2FDCA19B" w14:textId="77777777" w:rsidR="00B2135C" w:rsidRDefault="00B2135C">
      <w:pPr>
        <w:spacing w:after="0"/>
      </w:pPr>
    </w:p>
    <w:p w14:paraId="3E307C18" w14:textId="77777777" w:rsidR="00B2135C" w:rsidRDefault="00000000" w:rsidP="00C2115A">
      <w:pPr>
        <w:jc w:val="both"/>
      </w:pPr>
      <w:r>
        <w:t>Obveze nastale zbog dodatnog ulaganja na građevini u sklopu projekta WELLTUR NAFTALAN.</w:t>
      </w:r>
    </w:p>
    <w:p w14:paraId="651574D1" w14:textId="77777777" w:rsidR="00B2135C" w:rsidRDefault="00B2135C"/>
    <w:p w14:paraId="032F5670" w14:textId="77777777" w:rsidR="00B2135C" w:rsidRDefault="00000000">
      <w:pPr>
        <w:keepNext/>
        <w:spacing w:line="240" w:lineRule="auto"/>
        <w:jc w:val="center"/>
      </w:pPr>
      <w:r>
        <w:rPr>
          <w:b/>
          <w:sz w:val="28"/>
        </w:rPr>
        <w:t>Izvještaj o rashodima prema funkcijskoj klasifikaciji</w:t>
      </w:r>
    </w:p>
    <w:p w14:paraId="4A13B85D" w14:textId="77777777" w:rsidR="00B2135C"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B2135C" w14:paraId="1F7D7EE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4B208"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7EE37A"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E9A1DA"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2FCA3" w14:textId="77777777" w:rsidR="00B213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D2EE41" w14:textId="77777777" w:rsidR="00B213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0B02F6" w14:textId="77777777" w:rsidR="00B2135C" w:rsidRDefault="00000000">
            <w:pPr>
              <w:keepNext/>
              <w:keepLines/>
              <w:spacing w:after="0" w:line="240" w:lineRule="auto"/>
              <w:jc w:val="center"/>
            </w:pPr>
            <w:r>
              <w:rPr>
                <w:b/>
                <w:sz w:val="18"/>
              </w:rPr>
              <w:t>Indeks (%)</w:t>
            </w:r>
          </w:p>
        </w:tc>
      </w:tr>
      <w:tr w:rsidR="00B2135C" w14:paraId="4C9AA915" w14:textId="77777777">
        <w:tblPrEx>
          <w:tblCellMar>
            <w:top w:w="0" w:type="dxa"/>
            <w:bottom w:w="0" w:type="dxa"/>
          </w:tblCellMar>
        </w:tblPrEx>
        <w:trPr>
          <w:cantSplit/>
          <w:trHeight w:val="560"/>
        </w:trPr>
        <w:tc>
          <w:tcPr>
            <w:tcW w:w="700" w:type="dxa"/>
            <w:tcMar>
              <w:top w:w="0" w:type="dxa"/>
              <w:bottom w:w="0" w:type="dxa"/>
            </w:tcMar>
            <w:vAlign w:val="center"/>
          </w:tcPr>
          <w:p w14:paraId="2C7AD869" w14:textId="77777777" w:rsidR="00B2135C" w:rsidRDefault="00000000">
            <w:pPr>
              <w:keepNext/>
              <w:keepLines/>
              <w:spacing w:after="0" w:line="240" w:lineRule="auto"/>
            </w:pPr>
            <w:r>
              <w:rPr>
                <w:sz w:val="18"/>
              </w:rPr>
              <w:t>0111</w:t>
            </w:r>
          </w:p>
        </w:tc>
        <w:tc>
          <w:tcPr>
            <w:tcW w:w="3180" w:type="dxa"/>
            <w:tcMar>
              <w:top w:w="0" w:type="dxa"/>
              <w:bottom w:w="0" w:type="dxa"/>
            </w:tcMar>
            <w:vAlign w:val="center"/>
          </w:tcPr>
          <w:p w14:paraId="7FCD0237" w14:textId="77777777" w:rsidR="00B2135C" w:rsidRDefault="00000000">
            <w:pPr>
              <w:keepNext/>
              <w:keepLines/>
              <w:spacing w:after="0" w:line="240" w:lineRule="auto"/>
            </w:pPr>
            <w:r>
              <w:rPr>
                <w:sz w:val="18"/>
              </w:rPr>
              <w:t>Izvršna i zakonodavna tijela</w:t>
            </w:r>
          </w:p>
        </w:tc>
        <w:tc>
          <w:tcPr>
            <w:tcW w:w="700" w:type="dxa"/>
            <w:tcMar>
              <w:top w:w="0" w:type="dxa"/>
              <w:bottom w:w="0" w:type="dxa"/>
            </w:tcMar>
            <w:vAlign w:val="center"/>
          </w:tcPr>
          <w:p w14:paraId="76DB0285" w14:textId="77777777" w:rsidR="00B2135C" w:rsidRDefault="00000000">
            <w:pPr>
              <w:keepNext/>
              <w:keepLines/>
              <w:spacing w:after="0" w:line="240" w:lineRule="auto"/>
            </w:pPr>
            <w:r>
              <w:rPr>
                <w:sz w:val="18"/>
              </w:rPr>
              <w:t>0111</w:t>
            </w:r>
          </w:p>
        </w:tc>
        <w:tc>
          <w:tcPr>
            <w:tcW w:w="1860" w:type="dxa"/>
            <w:tcMar>
              <w:top w:w="0" w:type="dxa"/>
              <w:bottom w:w="0" w:type="dxa"/>
            </w:tcMar>
            <w:vAlign w:val="center"/>
          </w:tcPr>
          <w:p w14:paraId="4AFCA2F9" w14:textId="77777777" w:rsidR="00B2135C" w:rsidRDefault="00000000">
            <w:pPr>
              <w:keepNext/>
              <w:keepLines/>
              <w:spacing w:after="0" w:line="240" w:lineRule="auto"/>
              <w:jc w:val="right"/>
            </w:pPr>
            <w:r>
              <w:rPr>
                <w:sz w:val="18"/>
              </w:rPr>
              <w:t>17.566,96</w:t>
            </w:r>
          </w:p>
        </w:tc>
        <w:tc>
          <w:tcPr>
            <w:tcW w:w="1860" w:type="dxa"/>
            <w:tcMar>
              <w:top w:w="0" w:type="dxa"/>
              <w:bottom w:w="0" w:type="dxa"/>
            </w:tcMar>
            <w:vAlign w:val="center"/>
          </w:tcPr>
          <w:p w14:paraId="590511A2" w14:textId="77777777" w:rsidR="00B2135C" w:rsidRDefault="00000000">
            <w:pPr>
              <w:keepNext/>
              <w:keepLines/>
              <w:spacing w:after="0" w:line="240" w:lineRule="auto"/>
              <w:jc w:val="right"/>
            </w:pPr>
            <w:r>
              <w:rPr>
                <w:sz w:val="18"/>
              </w:rPr>
              <w:t>121.542,04</w:t>
            </w:r>
          </w:p>
        </w:tc>
        <w:tc>
          <w:tcPr>
            <w:tcW w:w="700" w:type="dxa"/>
            <w:tcMar>
              <w:top w:w="0" w:type="dxa"/>
              <w:bottom w:w="0" w:type="dxa"/>
            </w:tcMar>
            <w:vAlign w:val="center"/>
          </w:tcPr>
          <w:p w14:paraId="32825243" w14:textId="77777777" w:rsidR="00B2135C" w:rsidRDefault="00000000">
            <w:pPr>
              <w:keepNext/>
              <w:keepLines/>
              <w:spacing w:after="0" w:line="240" w:lineRule="auto"/>
              <w:jc w:val="right"/>
            </w:pPr>
            <w:r>
              <w:rPr>
                <w:sz w:val="18"/>
              </w:rPr>
              <w:t>691,9</w:t>
            </w:r>
          </w:p>
        </w:tc>
      </w:tr>
    </w:tbl>
    <w:p w14:paraId="6455752D" w14:textId="77777777" w:rsidR="00B2135C" w:rsidRDefault="00B2135C">
      <w:pPr>
        <w:spacing w:after="0"/>
      </w:pPr>
    </w:p>
    <w:p w14:paraId="3D7D246D" w14:textId="77777777" w:rsidR="00B2135C" w:rsidRDefault="00000000" w:rsidP="00C2115A">
      <w:pPr>
        <w:jc w:val="both"/>
      </w:pPr>
      <w:r>
        <w:t>Povećanje sukladno nastalim troškovima sufinanciranih od strane Zagrebačke županije za troškove projekta WELLTUR NAFTALAN. U 2024. godini započela je provedba navedenog projekta, zbog čega sredstva nisu bila ostvarivana tijekom cijele godine, za razliku od 2025. godine.</w:t>
      </w:r>
    </w:p>
    <w:p w14:paraId="04EB44B7" w14:textId="77777777" w:rsidR="00B2135C" w:rsidRDefault="00B2135C"/>
    <w:p w14:paraId="50B7CF29" w14:textId="77777777" w:rsidR="00B2135C" w:rsidRDefault="00000000">
      <w:pPr>
        <w:keepNext/>
        <w:spacing w:line="240" w:lineRule="auto"/>
        <w:jc w:val="center"/>
      </w:pPr>
      <w:r>
        <w:rPr>
          <w:b/>
          <w:sz w:val="28"/>
        </w:rPr>
        <w:t>Izvještaj o obvezama</w:t>
      </w:r>
    </w:p>
    <w:p w14:paraId="369337F4" w14:textId="77777777" w:rsidR="00B2135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B2135C" w14:paraId="2701F0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D6603C" w14:textId="77777777" w:rsidR="00B213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36BA68" w14:textId="77777777" w:rsidR="00B213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9A151A" w14:textId="77777777" w:rsidR="00B213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2860CF" w14:textId="77777777" w:rsidR="00B2135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F16C148" w14:textId="77777777" w:rsidR="00B2135C" w:rsidRDefault="00000000">
            <w:pPr>
              <w:keepNext/>
              <w:keepLines/>
              <w:spacing w:after="0" w:line="240" w:lineRule="auto"/>
              <w:jc w:val="center"/>
            </w:pPr>
            <w:r>
              <w:rPr>
                <w:b/>
                <w:sz w:val="18"/>
              </w:rPr>
              <w:t>Indeks (%)</w:t>
            </w:r>
          </w:p>
        </w:tc>
      </w:tr>
      <w:tr w:rsidR="00B2135C" w14:paraId="369832EC" w14:textId="77777777">
        <w:tblPrEx>
          <w:tblCellMar>
            <w:top w:w="0" w:type="dxa"/>
            <w:bottom w:w="0" w:type="dxa"/>
          </w:tblCellMar>
        </w:tblPrEx>
        <w:trPr>
          <w:cantSplit/>
          <w:trHeight w:val="560"/>
        </w:trPr>
        <w:tc>
          <w:tcPr>
            <w:tcW w:w="700" w:type="dxa"/>
            <w:tcMar>
              <w:top w:w="0" w:type="dxa"/>
              <w:bottom w:w="0" w:type="dxa"/>
            </w:tcMar>
            <w:vAlign w:val="center"/>
          </w:tcPr>
          <w:p w14:paraId="10715673" w14:textId="77777777" w:rsidR="00B2135C" w:rsidRDefault="00B2135C">
            <w:pPr>
              <w:keepNext/>
              <w:keepLines/>
              <w:spacing w:after="0" w:line="240" w:lineRule="auto"/>
            </w:pPr>
          </w:p>
        </w:tc>
        <w:tc>
          <w:tcPr>
            <w:tcW w:w="3180" w:type="dxa"/>
            <w:tcMar>
              <w:top w:w="0" w:type="dxa"/>
              <w:bottom w:w="0" w:type="dxa"/>
            </w:tcMar>
            <w:vAlign w:val="center"/>
          </w:tcPr>
          <w:p w14:paraId="670E2CE0" w14:textId="77777777" w:rsidR="00B2135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5DC88EF" w14:textId="77777777" w:rsidR="00B2135C" w:rsidRDefault="00000000">
            <w:pPr>
              <w:keepNext/>
              <w:keepLines/>
              <w:spacing w:after="0" w:line="240" w:lineRule="auto"/>
            </w:pPr>
            <w:r>
              <w:rPr>
                <w:sz w:val="18"/>
              </w:rPr>
              <w:t>V007</w:t>
            </w:r>
          </w:p>
        </w:tc>
        <w:tc>
          <w:tcPr>
            <w:tcW w:w="1860" w:type="dxa"/>
            <w:tcMar>
              <w:top w:w="0" w:type="dxa"/>
              <w:bottom w:w="0" w:type="dxa"/>
            </w:tcMar>
            <w:vAlign w:val="center"/>
          </w:tcPr>
          <w:p w14:paraId="187E0075" w14:textId="77777777" w:rsidR="00B2135C" w:rsidRDefault="00000000">
            <w:pPr>
              <w:keepNext/>
              <w:keepLines/>
              <w:spacing w:after="0" w:line="240" w:lineRule="auto"/>
              <w:jc w:val="right"/>
            </w:pPr>
            <w:r>
              <w:rPr>
                <w:sz w:val="18"/>
              </w:rPr>
              <w:t>169.449,51</w:t>
            </w:r>
          </w:p>
        </w:tc>
        <w:tc>
          <w:tcPr>
            <w:tcW w:w="700" w:type="dxa"/>
            <w:tcMar>
              <w:top w:w="0" w:type="dxa"/>
              <w:bottom w:w="0" w:type="dxa"/>
            </w:tcMar>
            <w:vAlign w:val="center"/>
          </w:tcPr>
          <w:p w14:paraId="34E454DB" w14:textId="77777777" w:rsidR="00B2135C" w:rsidRDefault="00000000">
            <w:pPr>
              <w:keepNext/>
              <w:keepLines/>
              <w:spacing w:after="0" w:line="240" w:lineRule="auto"/>
              <w:jc w:val="right"/>
            </w:pPr>
            <w:r>
              <w:rPr>
                <w:sz w:val="18"/>
              </w:rPr>
              <w:t>-</w:t>
            </w:r>
          </w:p>
        </w:tc>
      </w:tr>
    </w:tbl>
    <w:p w14:paraId="07E647A7" w14:textId="77777777" w:rsidR="00B2135C" w:rsidRDefault="00B2135C">
      <w:pPr>
        <w:spacing w:after="0"/>
      </w:pPr>
    </w:p>
    <w:p w14:paraId="285782D3" w14:textId="77777777" w:rsidR="00B2135C" w:rsidRDefault="00000000" w:rsidP="00C2115A">
      <w:pPr>
        <w:jc w:val="both"/>
      </w:pPr>
      <w:r>
        <w:t xml:space="preserve">Na dan završetka izvještajnog razdoblja ukupne dospjele obveze iznose 169.449,51 EUR. Od navedenog iznosa 127.598,87 EUR odnosi se na obveze za nabavu nefinancijske imovine. 106.561,44 EUR čine dospjele obveze prema dobavljačima za projekt WELLTUR. Navedene obveze podmiruju se sukladno financijskim mogućnostima, zbog ograničene likvidnosti. 71.573,31 EUR, s dospijećem duljim od 360 dana, odnosi se na dva računa dobavljača za okončane situacije izvođenja radova na projektu Naftalan 2 s unutarnjim i vanjskim bazenima. Ove obveze još nisu podmirene jer izvođač radova, sukladno zapisniku o primopredaji, nije </w:t>
      </w:r>
      <w:r>
        <w:lastRenderedPageBreak/>
        <w:t>otklonio utvrđene nedostatke.  Preostali dio dospjelih obveza odnosi se na druge obveze prema dobavljačima koje se podmiruju sukladno mogućnostima i dostupnim likvidnim sredstvima.</w:t>
      </w:r>
    </w:p>
    <w:p w14:paraId="4042921F" w14:textId="77777777" w:rsidR="00B2135C" w:rsidRDefault="00B2135C"/>
    <w:p w14:paraId="54EC9550" w14:textId="77777777" w:rsidR="00B2135C" w:rsidRDefault="00000000">
      <w:pPr>
        <w:keepNext/>
        <w:spacing w:line="240" w:lineRule="auto"/>
        <w:jc w:val="center"/>
      </w:pPr>
      <w:r>
        <w:rPr>
          <w:sz w:val="28"/>
        </w:rPr>
        <w:t>Bilješka 19.</w:t>
      </w:r>
    </w:p>
    <w:p w14:paraId="1329070A" w14:textId="77777777" w:rsidR="00B2135C" w:rsidRDefault="00000000">
      <w:pPr>
        <w:spacing w:line="240" w:lineRule="auto"/>
        <w:jc w:val="both"/>
      </w:pPr>
      <w:r>
        <w:rPr>
          <w:b/>
        </w:rPr>
        <w:t>EU izvještaj</w:t>
      </w:r>
    </w:p>
    <w:p w14:paraId="27FFD078" w14:textId="77777777" w:rsidR="00B2135C" w:rsidRDefault="00000000" w:rsidP="00C2115A">
      <w:pPr>
        <w:jc w:val="both"/>
      </w:pPr>
      <w:r>
        <w:t xml:space="preserve">Sukladno Okružnici o sastavljanju, konsolidaciji i predaji financijskih izvještaja, KLASA: 400-02/25-01/14, URBROJ: 513-17-01-26-5, u EU Izvještaju ne popunjavaju se podaci koji se odnose na prethodno razdoblje za ostvarene prihode i primitke, rashode i izdatke, stanje potraživanja, obveza,  obračunatih rashoda i prihoda, te stanje </w:t>
      </w:r>
      <w:proofErr w:type="spellStart"/>
      <w:r>
        <w:t>izvanbilaničnih</w:t>
      </w:r>
      <w:proofErr w:type="spellEnd"/>
      <w:r>
        <w:t xml:space="preserve"> zapisa. Slijedom navedenog, ne postoje odstupanja u odnosu na prethodno razdoblje koja bi se, sukladno Okružnici, trebala obrazložiti.</w:t>
      </w:r>
    </w:p>
    <w:p w14:paraId="1BED4A29" w14:textId="77777777" w:rsidR="00B2135C" w:rsidRDefault="00B2135C"/>
    <w:sectPr w:rsidR="00B213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2135C"/>
    <w:rsid w:val="00B2135C"/>
    <w:rsid w:val="00C2115A"/>
    <w:rsid w:val="00D750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6CE0"/>
  <w15:docId w15:val="{7C6A2222-9025-4C38-A130-4C68B362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1566</Words>
  <Characters>8930</Characters>
  <Application>Microsoft Office Word</Application>
  <DocSecurity>0</DocSecurity>
  <Lines>74</Lines>
  <Paragraphs>20</Paragraphs>
  <ScaleCrop>false</ScaleCrop>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Sočan</cp:lastModifiedBy>
  <cp:revision>2</cp:revision>
  <cp:lastPrinted>2026-01-29T10:16:00Z</cp:lastPrinted>
  <dcterms:created xsi:type="dcterms:W3CDTF">2026-01-29T10:14:00Z</dcterms:created>
  <dcterms:modified xsi:type="dcterms:W3CDTF">2026-01-29T10:16:00Z</dcterms:modified>
</cp:coreProperties>
</file>