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b4c224315a845d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40703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NAFTALAN - SPECIJALNA BOLNICA ZA MEDICINSKU REHABILITACIJU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5.465.488,57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6.257.617,07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5.115.270,78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5.586.646,16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350.217,79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670.970,91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185.075,97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548.333,76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185.075,97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548.333,76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253.379,88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253.379,88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253.379,88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253.379,88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88.238,06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130.742,73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148,2</w:t>
            </w:r>
          </w:p>
        </w:tc>
      </w:tr>
    </w:tbl>
    <w:p>
      <w:pPr>
        <w:spacing w:before="0" w:after="0"/>
      </w:pPr>
    </w:p>
    <w:p>
      <w:pPr>
        <w:jc w:val="both"/>
        <w:pStyle w:val="Normal"/>
        <w:spacing w:line="240" w:lineRule="auto"/>
      </w:pPr>
      <w:r>
        <w:rPr>
          <w:sz w:val="24"/>
          <w:rFonts w:ascii="Times New Roman" w:hAnsi="Times New Roman"/>
        </w:rPr>
        <w:t>NAFTALAN, specijalna bolnica za medicinsku rehabilitaciju, Ivanić-Grad, Omladinska 23a, poslovala je kao proračunski korisnik sukladno Uredbi o računovodstvu proračuna i Pravilniku o proračunskom računovodstvu i računskom planu.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5.465.488,57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6.257.617,07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pPr>
        <w:jc w:val="both"/>
        <w:pStyle w:val="Normal"/>
        <w:spacing w:line="240" w:lineRule="auto"/>
      </w:pPr>
      <w:r>
        <w:rPr>
          <w:sz w:val="24"/>
          <w:rFonts w:ascii="Times New Roman" w:hAnsi="Times New Roman"/>
        </w:rPr>
        <w:t>Ukupni prihodi i primici zabilježeni su u iznosu od 6.257.617,07 EUR što je za 15 % više nego u prethodnom razdoblju.  Povećanje se odnosi na povećanje prihoda od HZZO-a zbog povećanja mjesečnih limita, te na povećanje prihoda od nadležnog proračuna (Zagrebačke županije) zbog refundacije dijela sredstava za financiranje projekta WELLTUR NAFTALAN. Do rujna 2025. od strane osnivača refundirano je ukupno 74.696,90 EUR za navedeni projekt, dok je u 2024. refundacija sredstava evidentirana tek u prosincu.</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5.553.726,63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6.388.359,80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pPr>
        <w:jc w:val="both"/>
        <w:pStyle w:val="Normal"/>
        <w:spacing w:line="240" w:lineRule="auto"/>
      </w:pPr>
      <w:r>
        <w:rPr>
          <w:sz w:val="24"/>
          <w:rFonts w:ascii="Times New Roman" w:hAnsi="Times New Roman"/>
        </w:rPr>
        <w:t>Ukupni rashodi i izdaci u promatranom razdoblju iznosili su 6.388.359,80 EUR što je za 15% više nego u istom razdoblju prethodne godine. Značajno povećanje zabilježeno je u rashodima za nabavu nefinancijske imovine, koji su porasli za 196 % ili 363.257,79 EUR, primarno zbog projekta WELLTUR NAFTALAN, koji se sufinancira sredstvima iz Nacionalnog plana oporavka i otpornosti (NPOO) i osnivača Zagrebačke županije. Najveći rast rashoda zabilježen je na šifri 45, gdje je povećanje iznosilo 639 %, u odnosu na prethodno razdoblje.</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88.238,06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130.742,73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w:t>
            </w:r>
          </w:p>
        </w:tc>
      </w:tr>
    </w:tbl>
    <w:p>
      <w:pPr>
        <w:spacing w:before="0" w:after="0"/>
      </w:pPr>
    </w:p>
    <w:p>
      <w:pPr>
        <w:jc w:val="both"/>
        <w:pStyle w:val="Normal"/>
        <w:spacing w:line="240" w:lineRule="auto"/>
      </w:pPr>
      <w:r>
        <w:rPr>
          <w:sz w:val="24"/>
          <w:rFonts w:ascii="Times New Roman" w:hAnsi="Times New Roman"/>
        </w:rPr>
        <w:t>Specijalna bolnica Naftalan, kao proračunski korisnik, u razdoblju od siječnja do rujna 2025. godine bilježi manjak prihoda i primitaka u iznosu od 130.742,73 EUR. Međutim, ovaj rezultat ne odražava realno stanje poslovanja jer troškovi projekta WELLTUR NAFTALAN u iznosu od 173.401,37 EUR nisu još refundirani, ali će biti do kraja 2025. godine.</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507.207,06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592.147,68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pPr>
        <w:jc w:val="both"/>
        <w:pStyle w:val="Normal"/>
        <w:spacing w:line="240" w:lineRule="auto"/>
      </w:pPr>
      <w:r>
        <w:rPr>
          <w:sz w:val="24"/>
          <w:rFonts w:ascii="Times New Roman" w:hAnsi="Times New Roman"/>
        </w:rPr>
        <w:t>Na dan 30. rujna 2025. godine, kumulirani manjak Specijalne bolnice Naftalan iznosi 592.147,68 EUR.</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9217d7cb8ac450d" /></Relationships>
</file>