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C945A8" w:rsidRPr="003168B9" w14:paraId="064233F9" w14:textId="77777777" w:rsidTr="00D61F1F">
        <w:tc>
          <w:tcPr>
            <w:tcW w:w="6156" w:type="dxa"/>
          </w:tcPr>
          <w:p w14:paraId="3BC7AA3E" w14:textId="77777777" w:rsidR="00C945A8" w:rsidRPr="003168B9" w:rsidRDefault="00963F2E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7CABDDD" wp14:editId="27E28E9E">
                  <wp:extent cx="1883410" cy="42291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AE3F6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b/>
                <w:bCs/>
                <w:sz w:val="24"/>
                <w:lang w:bidi="ar-KW"/>
              </w:rPr>
              <w:t>specijalna bolnica za medicinsku rehabilitaciju</w:t>
            </w:r>
          </w:p>
          <w:p w14:paraId="69685398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10310 Ivanić-Grad, Omladinska 23a, HRVATSKA, p.p. 47                      </w:t>
            </w:r>
          </w:p>
          <w:p w14:paraId="625BD88A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Tel.: ++385 1 2834 555, Fax.: ++385 1 2881 481,                                        </w:t>
            </w:r>
          </w:p>
          <w:p w14:paraId="788F1CAB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www.naftalan.hr, e-mail: naftalan@naftalan.hr</w:t>
            </w:r>
          </w:p>
          <w:p w14:paraId="254BB399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MB</w:t>
            </w:r>
            <w:r w:rsidR="00390A35">
              <w:rPr>
                <w:rFonts w:ascii="Times New Roman" w:hAnsi="Times New Roman"/>
                <w:sz w:val="24"/>
                <w:lang w:bidi="ar-KW"/>
              </w:rPr>
              <w:t>: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 3186342, OIB</w:t>
            </w:r>
            <w:r w:rsidR="00390A35">
              <w:rPr>
                <w:rFonts w:ascii="Times New Roman" w:hAnsi="Times New Roman"/>
                <w:sz w:val="24"/>
                <w:lang w:bidi="ar-KW"/>
              </w:rPr>
              <w:t>: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 xml:space="preserve"> 43511228502</w:t>
            </w:r>
          </w:p>
          <w:p w14:paraId="6435C893" w14:textId="77777777" w:rsidR="00C945A8" w:rsidRPr="003168B9" w:rsidRDefault="00974F5C" w:rsidP="00974F5C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  <w:r w:rsidRPr="003168B9">
              <w:rPr>
                <w:rFonts w:ascii="Times New Roman" w:hAnsi="Times New Roman"/>
                <w:sz w:val="24"/>
                <w:lang w:bidi="ar-KW"/>
              </w:rPr>
              <w:t>IBAN</w:t>
            </w:r>
            <w:r w:rsidR="00C945A8" w:rsidRPr="003168B9">
              <w:rPr>
                <w:rFonts w:ascii="Times New Roman" w:hAnsi="Times New Roman"/>
                <w:sz w:val="24"/>
                <w:lang w:bidi="ar-KW"/>
              </w:rPr>
              <w:t>:</w:t>
            </w:r>
            <w:r w:rsidR="00390A35">
              <w:rPr>
                <w:rFonts w:ascii="Times New Roman" w:hAnsi="Times New Roman"/>
                <w:sz w:val="24"/>
                <w:lang w:bidi="ar-KW"/>
              </w:rPr>
              <w:t xml:space="preserve"> </w:t>
            </w:r>
            <w:r w:rsidRPr="003168B9">
              <w:rPr>
                <w:rFonts w:ascii="Times New Roman" w:hAnsi="Times New Roman"/>
                <w:sz w:val="24"/>
                <w:lang w:bidi="ar-KW"/>
              </w:rPr>
              <w:t>HR70</w:t>
            </w:r>
            <w:r w:rsidR="00C945A8" w:rsidRPr="003168B9">
              <w:rPr>
                <w:rFonts w:ascii="Times New Roman" w:hAnsi="Times New Roman"/>
                <w:sz w:val="24"/>
                <w:lang w:bidi="ar-KW"/>
              </w:rPr>
              <w:t>2360000-1101716186</w:t>
            </w:r>
          </w:p>
        </w:tc>
        <w:tc>
          <w:tcPr>
            <w:tcW w:w="3648" w:type="dxa"/>
          </w:tcPr>
          <w:p w14:paraId="7E5CA0FD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2991833" w14:textId="77777777" w:rsidR="00C945A8" w:rsidRPr="003168B9" w:rsidRDefault="00C945A8" w:rsidP="00D61F1F">
            <w:pPr>
              <w:spacing w:after="0" w:line="240" w:lineRule="auto"/>
              <w:rPr>
                <w:rFonts w:ascii="Times New Roman" w:hAnsi="Times New Roman"/>
                <w:sz w:val="24"/>
                <w:lang w:bidi="ar-KW"/>
              </w:rPr>
            </w:pPr>
          </w:p>
        </w:tc>
      </w:tr>
    </w:tbl>
    <w:p w14:paraId="34D089F6" w14:textId="5A9B2A08" w:rsidR="00C945A8" w:rsidRPr="006421E1" w:rsidRDefault="00B94354" w:rsidP="00C945A8">
      <w:pPr>
        <w:spacing w:after="0" w:line="240" w:lineRule="auto"/>
        <w:rPr>
          <w:rFonts w:ascii="Times New Roman" w:hAnsi="Times New Roman"/>
          <w:sz w:val="24"/>
          <w:lang w:bidi="ar-KW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7728" behindDoc="0" locked="1" layoutInCell="1" allowOverlap="1" wp14:anchorId="39861A3E" wp14:editId="07F845D1">
                <wp:simplePos x="0" y="0"/>
                <wp:positionH relativeFrom="column">
                  <wp:posOffset>-36195</wp:posOffset>
                </wp:positionH>
                <wp:positionV relativeFrom="paragraph">
                  <wp:posOffset>77469</wp:posOffset>
                </wp:positionV>
                <wp:extent cx="633412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793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85pt,6.1pt" to="495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" strokecolor="gray" strokeweight="1.5pt">
                <w10:anchorlock/>
              </v:line>
            </w:pict>
          </mc:Fallback>
        </mc:AlternateContent>
      </w:r>
      <w:r w:rsidR="006421E1">
        <w:rPr>
          <w:rFonts w:ascii="Times New Roman" w:hAnsi="Times New Roman"/>
          <w:sz w:val="24"/>
          <w:lang w:bidi="ar-KW"/>
        </w:rPr>
        <w:t xml:space="preserve">                             </w:t>
      </w:r>
    </w:p>
    <w:p w14:paraId="3F49662D" w14:textId="1C21B432" w:rsidR="00C945A8" w:rsidRDefault="00115348" w:rsidP="00C94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URBOJ</w:t>
      </w:r>
      <w:r w:rsidR="00390A35">
        <w:rPr>
          <w:rFonts w:ascii="Times New Roman" w:hAnsi="Times New Roman"/>
          <w:sz w:val="24"/>
          <w:szCs w:val="24"/>
        </w:rPr>
        <w:t>:</w:t>
      </w:r>
      <w:r w:rsidR="00C945A8" w:rsidRPr="003168B9">
        <w:rPr>
          <w:rFonts w:ascii="Times New Roman" w:hAnsi="Times New Roman"/>
          <w:sz w:val="24"/>
          <w:szCs w:val="24"/>
        </w:rPr>
        <w:t xml:space="preserve"> 238/10-111-</w:t>
      </w:r>
      <w:r w:rsidR="00614228">
        <w:rPr>
          <w:rFonts w:ascii="Times New Roman" w:hAnsi="Times New Roman"/>
          <w:sz w:val="24"/>
          <w:szCs w:val="24"/>
        </w:rPr>
        <w:t xml:space="preserve"> </w:t>
      </w:r>
      <w:r w:rsidR="00594370">
        <w:rPr>
          <w:rFonts w:ascii="Times New Roman" w:hAnsi="Times New Roman"/>
          <w:sz w:val="24"/>
          <w:szCs w:val="24"/>
        </w:rPr>
        <w:t xml:space="preserve">  </w:t>
      </w:r>
      <w:r w:rsidR="00C945A8" w:rsidRPr="003168B9">
        <w:rPr>
          <w:rFonts w:ascii="Times New Roman" w:hAnsi="Times New Roman"/>
          <w:sz w:val="24"/>
          <w:szCs w:val="24"/>
        </w:rPr>
        <w:t>/</w:t>
      </w:r>
      <w:r w:rsidR="00464D71">
        <w:rPr>
          <w:rFonts w:ascii="Times New Roman" w:hAnsi="Times New Roman"/>
          <w:sz w:val="24"/>
          <w:szCs w:val="24"/>
        </w:rPr>
        <w:t>2</w:t>
      </w:r>
      <w:r w:rsidR="002F4332">
        <w:rPr>
          <w:rFonts w:ascii="Times New Roman" w:hAnsi="Times New Roman"/>
          <w:sz w:val="24"/>
          <w:szCs w:val="24"/>
        </w:rPr>
        <w:t>5</w:t>
      </w:r>
    </w:p>
    <w:p w14:paraId="7DE1B4F2" w14:textId="42CD9269" w:rsidR="006421E1" w:rsidRPr="003168B9" w:rsidRDefault="006421E1" w:rsidP="00C94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Ivanić-Gradu, d</w:t>
      </w:r>
      <w:r w:rsidR="00125AF4">
        <w:rPr>
          <w:rFonts w:ascii="Times New Roman" w:hAnsi="Times New Roman"/>
          <w:sz w:val="24"/>
          <w:szCs w:val="24"/>
        </w:rPr>
        <w:t xml:space="preserve">ana </w:t>
      </w:r>
      <w:r w:rsidR="0059437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  <w:r w:rsidR="00594370">
        <w:rPr>
          <w:rFonts w:ascii="Times New Roman" w:hAnsi="Times New Roman"/>
          <w:sz w:val="24"/>
          <w:szCs w:val="24"/>
        </w:rPr>
        <w:t xml:space="preserve"> </w:t>
      </w:r>
      <w:r w:rsidR="009D67DD">
        <w:rPr>
          <w:rFonts w:ascii="Times New Roman" w:hAnsi="Times New Roman"/>
          <w:sz w:val="24"/>
          <w:szCs w:val="24"/>
        </w:rPr>
        <w:t>kolovoza</w:t>
      </w:r>
      <w:r w:rsidR="00594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2F433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</w:t>
      </w:r>
    </w:p>
    <w:p w14:paraId="56E797A2" w14:textId="77777777" w:rsidR="00252712" w:rsidRPr="003168B9" w:rsidRDefault="00252712" w:rsidP="00252712">
      <w:pPr>
        <w:jc w:val="center"/>
      </w:pPr>
    </w:p>
    <w:p w14:paraId="0DB0F51A" w14:textId="77777777" w:rsidR="00252712" w:rsidRPr="003168B9" w:rsidRDefault="00252712" w:rsidP="00252712">
      <w:pPr>
        <w:jc w:val="center"/>
      </w:pPr>
    </w:p>
    <w:p w14:paraId="58B7925A" w14:textId="77777777" w:rsidR="00252712" w:rsidRPr="003168B9" w:rsidRDefault="00252712" w:rsidP="00252712">
      <w:pPr>
        <w:jc w:val="center"/>
      </w:pPr>
    </w:p>
    <w:p w14:paraId="15767179" w14:textId="77777777" w:rsidR="006F5E3F" w:rsidRPr="003168B9" w:rsidRDefault="006F5E3F" w:rsidP="00252712">
      <w:pPr>
        <w:jc w:val="center"/>
        <w:rPr>
          <w:rFonts w:ascii="Times New Roman" w:hAnsi="Times New Roman"/>
          <w:sz w:val="28"/>
          <w:szCs w:val="28"/>
        </w:rPr>
      </w:pPr>
    </w:p>
    <w:p w14:paraId="7BEBDC36" w14:textId="77777777" w:rsidR="00252712" w:rsidRPr="003168B9" w:rsidRDefault="00252712" w:rsidP="00252712">
      <w:pPr>
        <w:jc w:val="center"/>
        <w:rPr>
          <w:rFonts w:ascii="Times New Roman" w:hAnsi="Times New Roman"/>
          <w:sz w:val="28"/>
          <w:szCs w:val="28"/>
        </w:rPr>
      </w:pPr>
    </w:p>
    <w:p w14:paraId="226BF8BB" w14:textId="77777777" w:rsidR="00252712" w:rsidRPr="003168B9" w:rsidRDefault="00252712" w:rsidP="00252712">
      <w:pPr>
        <w:jc w:val="center"/>
        <w:rPr>
          <w:rFonts w:ascii="Times New Roman" w:hAnsi="Times New Roman"/>
          <w:sz w:val="28"/>
          <w:szCs w:val="28"/>
        </w:rPr>
      </w:pPr>
    </w:p>
    <w:p w14:paraId="2331F42E" w14:textId="77777777" w:rsidR="0008606C" w:rsidRDefault="006F5E3F" w:rsidP="0008606C">
      <w:pPr>
        <w:jc w:val="center"/>
        <w:rPr>
          <w:rFonts w:ascii="Times New Roman" w:hAnsi="Times New Roman"/>
          <w:b/>
          <w:sz w:val="28"/>
          <w:szCs w:val="28"/>
        </w:rPr>
      </w:pPr>
      <w:r w:rsidRPr="006421E1">
        <w:rPr>
          <w:rFonts w:ascii="Times New Roman" w:hAnsi="Times New Roman"/>
          <w:b/>
          <w:sz w:val="28"/>
          <w:szCs w:val="28"/>
        </w:rPr>
        <w:t>IZVJEŠĆ</w:t>
      </w:r>
      <w:r w:rsidR="006421E1">
        <w:rPr>
          <w:rFonts w:ascii="Times New Roman" w:hAnsi="Times New Roman"/>
          <w:b/>
          <w:sz w:val="28"/>
          <w:szCs w:val="28"/>
        </w:rPr>
        <w:t xml:space="preserve">E O RADU I POSLOVANJU </w:t>
      </w:r>
    </w:p>
    <w:p w14:paraId="4E713ECF" w14:textId="5CAEAF7A" w:rsidR="00252712" w:rsidRPr="006421E1" w:rsidRDefault="006421E1" w:rsidP="000860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NAFTALANA</w:t>
      </w:r>
      <w:r w:rsidR="006F5E3F" w:rsidRPr="006421E1">
        <w:rPr>
          <w:rFonts w:ascii="Times New Roman" w:hAnsi="Times New Roman"/>
          <w:b/>
          <w:sz w:val="28"/>
          <w:szCs w:val="28"/>
        </w:rPr>
        <w:t>, SPECIJALNE BOLNICE ZA MEDICINSKU REHABILITACIJU U 20</w:t>
      </w:r>
      <w:r w:rsidR="00CD570E" w:rsidRPr="006421E1">
        <w:rPr>
          <w:rFonts w:ascii="Times New Roman" w:hAnsi="Times New Roman"/>
          <w:b/>
          <w:sz w:val="28"/>
          <w:szCs w:val="28"/>
        </w:rPr>
        <w:t>2</w:t>
      </w:r>
      <w:r w:rsidR="002F4332">
        <w:rPr>
          <w:rFonts w:ascii="Times New Roman" w:hAnsi="Times New Roman"/>
          <w:b/>
          <w:sz w:val="28"/>
          <w:szCs w:val="28"/>
        </w:rPr>
        <w:t>4</w:t>
      </w:r>
      <w:r w:rsidR="006F5E3F" w:rsidRPr="006421E1">
        <w:rPr>
          <w:rFonts w:ascii="Times New Roman" w:hAnsi="Times New Roman"/>
          <w:b/>
          <w:sz w:val="28"/>
          <w:szCs w:val="28"/>
        </w:rPr>
        <w:t>. GODINI</w:t>
      </w:r>
    </w:p>
    <w:p w14:paraId="69836A95" w14:textId="77777777" w:rsidR="00252712" w:rsidRPr="003168B9" w:rsidRDefault="00252712" w:rsidP="0008606C">
      <w:pPr>
        <w:rPr>
          <w:rFonts w:ascii="Times New Roman" w:hAnsi="Times New Roman"/>
          <w:sz w:val="28"/>
          <w:szCs w:val="28"/>
        </w:rPr>
      </w:pPr>
    </w:p>
    <w:p w14:paraId="719CB8BB" w14:textId="77777777"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14:paraId="2467DFA3" w14:textId="77777777" w:rsidR="00252712" w:rsidRPr="003168B9" w:rsidRDefault="00252712">
      <w:pPr>
        <w:rPr>
          <w:rFonts w:ascii="Times New Roman" w:hAnsi="Times New Roman"/>
          <w:sz w:val="28"/>
          <w:szCs w:val="28"/>
        </w:rPr>
      </w:pPr>
    </w:p>
    <w:p w14:paraId="3FFB33E0" w14:textId="77777777" w:rsidR="00252712" w:rsidRPr="003168B9" w:rsidRDefault="00252712"/>
    <w:p w14:paraId="2301F30A" w14:textId="77777777" w:rsidR="006F5E3F" w:rsidRPr="003168B9" w:rsidRDefault="006F5E3F"/>
    <w:p w14:paraId="1CD5983B" w14:textId="77777777" w:rsidR="00C945A8" w:rsidRPr="003168B9" w:rsidRDefault="00C945A8"/>
    <w:p w14:paraId="493DE1DB" w14:textId="77777777" w:rsidR="00711DBA" w:rsidRPr="003168B9" w:rsidRDefault="00711DBA"/>
    <w:p w14:paraId="660E60E7" w14:textId="77777777" w:rsidR="00711DBA" w:rsidRPr="003168B9" w:rsidRDefault="00711DBA"/>
    <w:p w14:paraId="50A86FA9" w14:textId="77777777" w:rsidR="008716FD" w:rsidRPr="003168B9" w:rsidRDefault="008716FD"/>
    <w:p w14:paraId="68D075E4" w14:textId="77777777" w:rsidR="008716FD" w:rsidRPr="003168B9" w:rsidRDefault="008716FD"/>
    <w:p w14:paraId="623C6B34" w14:textId="49B767F9" w:rsidR="00252712" w:rsidRDefault="00252712" w:rsidP="00125AF4"/>
    <w:p w14:paraId="1C1C9932" w14:textId="77777777" w:rsidR="000245F5" w:rsidRDefault="000245F5" w:rsidP="00125AF4">
      <w:pPr>
        <w:rPr>
          <w:rFonts w:ascii="Times New Roman" w:hAnsi="Times New Roman"/>
          <w:b/>
          <w:sz w:val="24"/>
          <w:szCs w:val="24"/>
        </w:rPr>
      </w:pPr>
    </w:p>
    <w:p w14:paraId="42E99809" w14:textId="77777777" w:rsidR="00390A35" w:rsidRPr="00390A35" w:rsidRDefault="00390A35" w:rsidP="00125AF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3B680B">
        <w:rPr>
          <w:rFonts w:ascii="Times New Roman" w:hAnsi="Times New Roman"/>
          <w:b/>
          <w:sz w:val="24"/>
          <w:szCs w:val="24"/>
          <w:u w:val="single"/>
        </w:rPr>
        <w:t>I.  Naftalan</w:t>
      </w:r>
      <w:r w:rsidR="00BC70B1">
        <w:rPr>
          <w:rFonts w:ascii="Times New Roman" w:hAnsi="Times New Roman"/>
          <w:b/>
          <w:sz w:val="24"/>
          <w:szCs w:val="24"/>
          <w:u w:val="single"/>
        </w:rPr>
        <w:t>, specijalna bolnica</w:t>
      </w:r>
      <w:r w:rsidRPr="00390A35">
        <w:rPr>
          <w:rFonts w:ascii="Times New Roman" w:hAnsi="Times New Roman"/>
          <w:b/>
          <w:sz w:val="24"/>
          <w:szCs w:val="24"/>
          <w:u w:val="single"/>
        </w:rPr>
        <w:t xml:space="preserve"> za medicinsku rehabilitaciju</w:t>
      </w:r>
    </w:p>
    <w:p w14:paraId="167A6B90" w14:textId="77777777" w:rsidR="00252712" w:rsidRPr="0070339E" w:rsidRDefault="003F4C2D" w:rsidP="00B87DFC">
      <w:pPr>
        <w:pStyle w:val="Bezproreda"/>
        <w:ind w:firstLine="142"/>
        <w:jc w:val="both"/>
      </w:pPr>
      <w:r w:rsidRPr="0070339E">
        <w:t>Naftalan</w:t>
      </w:r>
      <w:r w:rsidR="00252712" w:rsidRPr="0070339E">
        <w:t>, specijalna bolnica za medici</w:t>
      </w:r>
      <w:r w:rsidR="00390A35">
        <w:t>nsku rehabilitaciju osnovana je</w:t>
      </w:r>
      <w:r w:rsidR="00252712" w:rsidRPr="0070339E">
        <w:t xml:space="preserve"> Odlukom Skupštine općine Ivanić Grad 1981. godine, a otpočela je s radom 1989. godine kao lječilište za liječenje kožnih i reumatskih bolesti „Naftalan“. Od 1994. godine,</w:t>
      </w:r>
      <w:r w:rsidR="001F3135" w:rsidRPr="0070339E">
        <w:t xml:space="preserve"> </w:t>
      </w:r>
      <w:r w:rsidR="00252712" w:rsidRPr="0070339E">
        <w:t>Naftalan djeluje kao specijalna bolnica za medicinsku re</w:t>
      </w:r>
      <w:r w:rsidR="006421E1">
        <w:t>habilitaciju, Rješenjem Ministarstva</w:t>
      </w:r>
      <w:r w:rsidR="00252712" w:rsidRPr="0070339E">
        <w:t xml:space="preserve"> zdravstva Republike Hrvatske.</w:t>
      </w:r>
    </w:p>
    <w:p w14:paraId="772376EB" w14:textId="77777777" w:rsidR="00B87DFC" w:rsidRDefault="00B87DFC" w:rsidP="00B87DFC">
      <w:pPr>
        <w:pStyle w:val="Bezproreda"/>
        <w:ind w:firstLine="142"/>
        <w:jc w:val="both"/>
      </w:pPr>
    </w:p>
    <w:p w14:paraId="717D2211" w14:textId="47B147FC" w:rsidR="00252712" w:rsidRDefault="00252712" w:rsidP="00B87DFC">
      <w:pPr>
        <w:pStyle w:val="Bezproreda"/>
        <w:ind w:firstLine="142"/>
        <w:jc w:val="both"/>
      </w:pPr>
      <w:r w:rsidRPr="0070339E">
        <w:t>Sukladno Zakonu o ustanovama i Zakonu o zdravstvenoj zaštiti, osnivač zdravstvene ustanove je Zagrebačka županija.</w:t>
      </w:r>
    </w:p>
    <w:p w14:paraId="6890CD33" w14:textId="77777777" w:rsidR="00390A35" w:rsidRPr="0070339E" w:rsidRDefault="00390A35" w:rsidP="00390A35">
      <w:pPr>
        <w:pStyle w:val="Bezproreda"/>
        <w:ind w:firstLine="708"/>
        <w:jc w:val="both"/>
      </w:pPr>
    </w:p>
    <w:p w14:paraId="161D1471" w14:textId="49F14042" w:rsidR="003F4C2D" w:rsidRDefault="003F4C2D" w:rsidP="00B87DFC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Misija</w:t>
      </w:r>
      <w:r w:rsidR="00811F8E" w:rsidRPr="0070339E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>Naftalan</w:t>
      </w:r>
      <w:r w:rsidR="00B87DFC">
        <w:rPr>
          <w:rFonts w:ascii="Times New Roman" w:hAnsi="Times New Roman"/>
          <w:sz w:val="24"/>
          <w:szCs w:val="24"/>
        </w:rPr>
        <w:t>-</w:t>
      </w:r>
      <w:r w:rsidRPr="0070339E">
        <w:rPr>
          <w:rFonts w:ascii="Times New Roman" w:hAnsi="Times New Roman"/>
          <w:sz w:val="24"/>
          <w:szCs w:val="24"/>
        </w:rPr>
        <w:t xml:space="preserve">a </w:t>
      </w:r>
      <w:r w:rsidR="00811F8E" w:rsidRPr="0070339E">
        <w:rPr>
          <w:rFonts w:ascii="Times New Roman" w:hAnsi="Times New Roman"/>
          <w:sz w:val="24"/>
          <w:szCs w:val="24"/>
        </w:rPr>
        <w:t>je kontinuirano pružanje usluga fizikalne rehabilitacije i l</w:t>
      </w:r>
      <w:r w:rsidR="001B0E10" w:rsidRPr="0070339E">
        <w:rPr>
          <w:rFonts w:ascii="Times New Roman" w:hAnsi="Times New Roman"/>
          <w:sz w:val="24"/>
          <w:szCs w:val="24"/>
        </w:rPr>
        <w:t>i</w:t>
      </w:r>
      <w:r w:rsidR="00811F8E" w:rsidRPr="0070339E">
        <w:rPr>
          <w:rFonts w:ascii="Times New Roman" w:hAnsi="Times New Roman"/>
          <w:sz w:val="24"/>
          <w:szCs w:val="24"/>
        </w:rPr>
        <w:t xml:space="preserve">ječenja </w:t>
      </w:r>
      <w:proofErr w:type="spellStart"/>
      <w:r w:rsidR="00811F8E" w:rsidRPr="0070339E">
        <w:rPr>
          <w:rFonts w:ascii="Times New Roman" w:hAnsi="Times New Roman"/>
          <w:sz w:val="24"/>
          <w:szCs w:val="24"/>
        </w:rPr>
        <w:t>dermatoveneroloških</w:t>
      </w:r>
      <w:proofErr w:type="spellEnd"/>
      <w:r w:rsidR="00811F8E" w:rsidRPr="0070339E">
        <w:rPr>
          <w:rFonts w:ascii="Times New Roman" w:hAnsi="Times New Roman"/>
          <w:sz w:val="24"/>
          <w:szCs w:val="24"/>
        </w:rPr>
        <w:t xml:space="preserve"> bolesti na razini učinkovitosti i kvalitete zdravstvene zaštite pacijenata.</w:t>
      </w:r>
    </w:p>
    <w:p w14:paraId="74A5F0A4" w14:textId="77777777" w:rsidR="00390A35" w:rsidRPr="0070339E" w:rsidRDefault="00390A35" w:rsidP="003F4C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0DA942" w14:textId="473AF01B" w:rsidR="003F4C2D" w:rsidRPr="0070339E" w:rsidRDefault="003F4C2D" w:rsidP="00B87DFC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Vizija Naftalan</w:t>
      </w:r>
      <w:r w:rsidR="00B87DFC">
        <w:rPr>
          <w:rFonts w:ascii="Times New Roman" w:hAnsi="Times New Roman"/>
          <w:sz w:val="24"/>
          <w:szCs w:val="24"/>
        </w:rPr>
        <w:t>-</w:t>
      </w:r>
      <w:r w:rsidRPr="0070339E">
        <w:rPr>
          <w:rFonts w:ascii="Times New Roman" w:hAnsi="Times New Roman"/>
          <w:sz w:val="24"/>
          <w:szCs w:val="24"/>
        </w:rPr>
        <w:t xml:space="preserve">a je </w:t>
      </w:r>
      <w:r w:rsidR="00811F8E" w:rsidRPr="0070339E">
        <w:rPr>
          <w:rFonts w:ascii="Times New Roman" w:hAnsi="Times New Roman"/>
          <w:sz w:val="24"/>
          <w:szCs w:val="24"/>
        </w:rPr>
        <w:t>osigurati opseg i kvalitetu zdravstvene zaštite sukladno potrebama naših pacijenata.</w:t>
      </w:r>
      <w:r w:rsidRPr="0070339E">
        <w:rPr>
          <w:rFonts w:ascii="Times New Roman" w:hAnsi="Times New Roman"/>
          <w:sz w:val="24"/>
          <w:szCs w:val="24"/>
        </w:rPr>
        <w:t xml:space="preserve"> </w:t>
      </w:r>
    </w:p>
    <w:p w14:paraId="30230F30" w14:textId="5C94F07B" w:rsidR="003F4C2D" w:rsidRDefault="003F4C2D" w:rsidP="003F4C2D">
      <w:pPr>
        <w:pStyle w:val="Bezproreda"/>
      </w:pPr>
    </w:p>
    <w:p w14:paraId="58DA87F5" w14:textId="77777777" w:rsidR="00B87DFC" w:rsidRPr="0070339E" w:rsidRDefault="00B87DFC" w:rsidP="003F4C2D">
      <w:pPr>
        <w:pStyle w:val="Bezproreda"/>
      </w:pPr>
    </w:p>
    <w:p w14:paraId="4C0A5F7B" w14:textId="77777777" w:rsidR="00252712" w:rsidRPr="0070339E" w:rsidRDefault="00390A35" w:rsidP="00390A35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II. </w:t>
      </w:r>
      <w:r w:rsidR="00252712" w:rsidRPr="0070339E">
        <w:rPr>
          <w:rFonts w:ascii="Times New Roman" w:hAnsi="Times New Roman"/>
          <w:b/>
          <w:bCs/>
          <w:sz w:val="24"/>
          <w:szCs w:val="24"/>
          <w:u w:val="single"/>
        </w:rPr>
        <w:t>Djelatnost zdravstvene ustanove</w:t>
      </w:r>
    </w:p>
    <w:p w14:paraId="44FDD09E" w14:textId="77777777" w:rsidR="00252712" w:rsidRPr="0070339E" w:rsidRDefault="00A96301" w:rsidP="00B87DFC">
      <w:pPr>
        <w:pStyle w:val="Bezproreda"/>
        <w:ind w:firstLine="142"/>
        <w:jc w:val="both"/>
      </w:pPr>
      <w:r>
        <w:t>Naftalan</w:t>
      </w:r>
      <w:r w:rsidR="00252712" w:rsidRPr="0070339E">
        <w:t xml:space="preserve"> je</w:t>
      </w:r>
      <w:r>
        <w:t xml:space="preserve"> registriran</w:t>
      </w:r>
      <w:r w:rsidR="00252712" w:rsidRPr="0070339E">
        <w:t xml:space="preserve"> pr</w:t>
      </w:r>
      <w:r>
        <w:t>i Trgovačkom sudu Zagreb</w:t>
      </w:r>
      <w:r w:rsidR="00252712" w:rsidRPr="0070339E">
        <w:t>, MBS 080311007, Tt-05/10054-2, za obavljanj</w:t>
      </w:r>
      <w:r>
        <w:t>e slijedećih djelatnosti</w:t>
      </w:r>
      <w:r w:rsidR="00252712" w:rsidRPr="0070339E">
        <w:t>:</w:t>
      </w:r>
    </w:p>
    <w:p w14:paraId="58391C8E" w14:textId="77777777" w:rsidR="00A96301" w:rsidRPr="00600374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bolnička djelatnost iz fizikalne medicine i rehabilitacije, dermatologije i venerologije i reumatologije</w:t>
      </w:r>
      <w:r>
        <w:rPr>
          <w:rFonts w:ascii="Times New Roman" w:hAnsi="Times New Roman"/>
          <w:sz w:val="24"/>
        </w:rPr>
        <w:t>,</w:t>
      </w:r>
    </w:p>
    <w:p w14:paraId="220967A7" w14:textId="77777777" w:rsidR="00A96301" w:rsidRPr="00600374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specijalističko-konzilijarna djelatnost bez bolničkog liječenja iz fizikalne medicine i rehabilitacije, dermatologije i venerologije i reumatologije</w:t>
      </w:r>
      <w:r>
        <w:rPr>
          <w:rFonts w:ascii="Times New Roman" w:hAnsi="Times New Roman"/>
          <w:sz w:val="24"/>
        </w:rPr>
        <w:t>,</w:t>
      </w:r>
    </w:p>
    <w:p w14:paraId="5DDA3301" w14:textId="77777777" w:rsidR="00A96301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djelatnost fizikalne terapije</w:t>
      </w:r>
      <w:r w:rsidR="00390A35">
        <w:rPr>
          <w:rFonts w:ascii="Times New Roman" w:hAnsi="Times New Roman"/>
          <w:sz w:val="24"/>
        </w:rPr>
        <w:t>,</w:t>
      </w:r>
    </w:p>
    <w:p w14:paraId="16E39631" w14:textId="77777777" w:rsidR="00A96301" w:rsidRPr="00600374" w:rsidRDefault="00A96301" w:rsidP="00A9630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0374">
        <w:rPr>
          <w:rFonts w:ascii="Times New Roman" w:hAnsi="Times New Roman"/>
          <w:sz w:val="24"/>
        </w:rPr>
        <w:t>zdravstveni turizam - pružanje zdravstvenih usluga - dijagnostičkih i terapijskih postupaka, zdravstvene njege te postupaka medicinske rehabilitacije uz pružanje ugostiteljskih usluga i/ili usluga u turizmu</w:t>
      </w:r>
      <w:r w:rsidR="00390A35">
        <w:rPr>
          <w:rFonts w:ascii="Times New Roman" w:hAnsi="Times New Roman"/>
          <w:sz w:val="24"/>
        </w:rPr>
        <w:t>.</w:t>
      </w:r>
    </w:p>
    <w:p w14:paraId="34058DB3" w14:textId="529EA3B6" w:rsidR="00390A35" w:rsidRDefault="00390A35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AFB5190" w14:textId="77777777" w:rsidR="00B87DFC" w:rsidRDefault="00B87DFC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19D2D5" w14:textId="1A4E2C0A" w:rsidR="00A96301" w:rsidRPr="00E703FB" w:rsidRDefault="00390A35" w:rsidP="0046426E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0A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750CD2">
        <w:rPr>
          <w:rFonts w:ascii="Times New Roman" w:hAnsi="Times New Roman"/>
          <w:b/>
          <w:sz w:val="24"/>
          <w:szCs w:val="24"/>
          <w:u w:val="single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A96301" w:rsidRPr="00E703FB">
        <w:rPr>
          <w:rFonts w:ascii="Times New Roman" w:hAnsi="Times New Roman"/>
          <w:b/>
          <w:sz w:val="24"/>
          <w:szCs w:val="24"/>
          <w:u w:val="single"/>
        </w:rPr>
        <w:t>Organizacijska struktura bolnice</w:t>
      </w:r>
    </w:p>
    <w:p w14:paraId="7DBA282A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3DDF3" w14:textId="77777777" w:rsidR="00A96301" w:rsidRPr="00E703FB" w:rsidRDefault="00A96301" w:rsidP="00B87DFC">
      <w:pPr>
        <w:tabs>
          <w:tab w:val="left" w:pos="108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>Bolnica organizira rad putem dvije službe i to:</w:t>
      </w:r>
    </w:p>
    <w:p w14:paraId="4E869582" w14:textId="77777777" w:rsidR="00A96301" w:rsidRPr="00E703FB" w:rsidRDefault="00A96301" w:rsidP="00A96301">
      <w:pPr>
        <w:pStyle w:val="Odlomakpopisa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>Medicinska služba koju čine:</w:t>
      </w:r>
    </w:p>
    <w:p w14:paraId="1C227B17" w14:textId="77777777" w:rsidR="00A96301" w:rsidRPr="00D579C1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D579C1">
        <w:rPr>
          <w:rFonts w:ascii="Times New Roman" w:hAnsi="Times New Roman"/>
          <w:sz w:val="24"/>
          <w:szCs w:val="24"/>
        </w:rPr>
        <w:tab/>
        <w:t>- Odjel za liječenje upalnih reumatskih bolesti</w:t>
      </w:r>
    </w:p>
    <w:p w14:paraId="71D8D32E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fizikalnu medicinu i rehabilitaciju</w:t>
      </w:r>
    </w:p>
    <w:p w14:paraId="262A83E6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fizikalnu terapiju</w:t>
      </w:r>
    </w:p>
    <w:p w14:paraId="4812CF84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liječenje kožnih bolesti</w:t>
      </w:r>
    </w:p>
    <w:p w14:paraId="14AFE74D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dermatološke dijagnostike i estetske medicine</w:t>
      </w:r>
    </w:p>
    <w:p w14:paraId="3B49417A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specijalističko – konzilijarnu zdravstvenu zaštitu</w:t>
      </w:r>
    </w:p>
    <w:p w14:paraId="0461AA42" w14:textId="0674CFFE" w:rsidR="00A96301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sportske rehabilitacije i medicinskog wellnessa</w:t>
      </w:r>
    </w:p>
    <w:p w14:paraId="4A5BEC1C" w14:textId="77777777" w:rsidR="00B87DFC" w:rsidRPr="00E703FB" w:rsidRDefault="00B87DFC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31CD5DA6" w14:textId="77777777" w:rsidR="00A96301" w:rsidRPr="00E703FB" w:rsidRDefault="00A96301" w:rsidP="00A96301">
      <w:pPr>
        <w:tabs>
          <w:tab w:val="left" w:pos="1080"/>
        </w:tabs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2E8E8192" w14:textId="77777777" w:rsidR="00A96301" w:rsidRPr="00E703FB" w:rsidRDefault="00A96301" w:rsidP="00A96301">
      <w:pPr>
        <w:pStyle w:val="Odlomakpopisa"/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>Nemedicinska služba:</w:t>
      </w:r>
    </w:p>
    <w:p w14:paraId="2C0D96D5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financije i računovodstvo</w:t>
      </w:r>
    </w:p>
    <w:p w14:paraId="20602639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Odsjek računovodstva</w:t>
      </w:r>
    </w:p>
    <w:p w14:paraId="23A71F11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prodaje i marketinga</w:t>
      </w:r>
    </w:p>
    <w:p w14:paraId="6BF6B326" w14:textId="6D71CA9E" w:rsidR="000F65C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 xml:space="preserve">- Odsjek </w:t>
      </w:r>
      <w:r w:rsidR="000F65CB">
        <w:rPr>
          <w:rFonts w:ascii="Times New Roman" w:hAnsi="Times New Roman"/>
          <w:sz w:val="24"/>
          <w:szCs w:val="24"/>
        </w:rPr>
        <w:t>prodaje</w:t>
      </w:r>
    </w:p>
    <w:p w14:paraId="417710CD" w14:textId="7A76EB5B" w:rsidR="000F65CB" w:rsidRDefault="000F65CB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>- Odjel smještaja, prehrane i domaćinstva</w:t>
      </w:r>
    </w:p>
    <w:p w14:paraId="3F300B2E" w14:textId="4CC8DE96" w:rsidR="000F65CB" w:rsidRPr="00E703FB" w:rsidRDefault="000F65CB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 Odsjek domaćinstva</w:t>
      </w:r>
    </w:p>
    <w:p w14:paraId="375D0D39" w14:textId="51101169" w:rsidR="00A96301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Odsjek recepcije</w:t>
      </w:r>
    </w:p>
    <w:p w14:paraId="7078B8B7" w14:textId="7363BB14" w:rsidR="000F65CB" w:rsidRPr="00E703FB" w:rsidRDefault="000F65CB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 Odsjek bazenske recepcije</w:t>
      </w:r>
    </w:p>
    <w:p w14:paraId="07D1239E" w14:textId="77777777" w:rsidR="00A96301" w:rsidRPr="00E703FB" w:rsidRDefault="00A96301" w:rsidP="00A96301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Odsjek za prehranu i ugostiteljstvo</w:t>
      </w:r>
    </w:p>
    <w:p w14:paraId="7D502B0D" w14:textId="77777777" w:rsidR="00A96301" w:rsidRPr="00E703FB" w:rsidRDefault="00A96301" w:rsidP="00A96301">
      <w:pPr>
        <w:tabs>
          <w:tab w:val="left" w:pos="1080"/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općih i pravnih poslova</w:t>
      </w:r>
    </w:p>
    <w:p w14:paraId="555AA6A0" w14:textId="2D64C37C" w:rsidR="00A96301" w:rsidRPr="00E703FB" w:rsidRDefault="00A96301" w:rsidP="000F65C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3FB">
        <w:rPr>
          <w:rFonts w:ascii="Times New Roman" w:hAnsi="Times New Roman"/>
          <w:sz w:val="24"/>
          <w:szCs w:val="24"/>
        </w:rPr>
        <w:tab/>
        <w:t>- Odjel za tehničko održavanje</w:t>
      </w:r>
    </w:p>
    <w:p w14:paraId="392617D6" w14:textId="10F8A742" w:rsidR="00C92D04" w:rsidRDefault="00C92D04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54B98" w14:textId="77777777" w:rsidR="00546AD7" w:rsidRDefault="00546AD7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063DC" w14:textId="77777777" w:rsidR="000245F5" w:rsidRPr="0070339E" w:rsidRDefault="000245F5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D3367" w14:textId="77777777" w:rsidR="00C92D04" w:rsidRPr="0070339E" w:rsidRDefault="00750CD2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50CD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IV. </w:t>
      </w:r>
      <w:r w:rsidR="00C92D04" w:rsidRPr="0070339E">
        <w:rPr>
          <w:rFonts w:ascii="Times New Roman" w:hAnsi="Times New Roman"/>
          <w:b/>
          <w:sz w:val="24"/>
          <w:szCs w:val="24"/>
          <w:u w:val="single"/>
        </w:rPr>
        <w:t>Kadrovska struktura</w:t>
      </w:r>
    </w:p>
    <w:p w14:paraId="4959B4E8" w14:textId="77777777" w:rsidR="000E7292" w:rsidRPr="0070339E" w:rsidRDefault="000E7292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88B503" w14:textId="059A7300" w:rsidR="00B87DFC" w:rsidRDefault="00750CD2" w:rsidP="00840D0D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24E1B" w:rsidRPr="0070339E">
        <w:rPr>
          <w:rFonts w:ascii="Times New Roman" w:hAnsi="Times New Roman"/>
          <w:sz w:val="24"/>
          <w:szCs w:val="24"/>
        </w:rPr>
        <w:t>Na dan 31.</w:t>
      </w:r>
      <w:r>
        <w:rPr>
          <w:rFonts w:ascii="Times New Roman" w:hAnsi="Times New Roman"/>
          <w:sz w:val="24"/>
          <w:szCs w:val="24"/>
        </w:rPr>
        <w:t xml:space="preserve"> prosinca </w:t>
      </w:r>
      <w:r w:rsidR="00C24E1B" w:rsidRPr="0070339E">
        <w:rPr>
          <w:rFonts w:ascii="Times New Roman" w:hAnsi="Times New Roman"/>
          <w:sz w:val="24"/>
          <w:szCs w:val="24"/>
        </w:rPr>
        <w:t>20</w:t>
      </w:r>
      <w:r w:rsidR="00E2437D" w:rsidRPr="0070339E">
        <w:rPr>
          <w:rFonts w:ascii="Times New Roman" w:hAnsi="Times New Roman"/>
          <w:sz w:val="24"/>
          <w:szCs w:val="24"/>
        </w:rPr>
        <w:t>2</w:t>
      </w:r>
      <w:r w:rsidR="002F4332">
        <w:rPr>
          <w:rFonts w:ascii="Times New Roman" w:hAnsi="Times New Roman"/>
          <w:sz w:val="24"/>
          <w:szCs w:val="24"/>
        </w:rPr>
        <w:t>4</w:t>
      </w:r>
      <w:r w:rsidR="00C24E1B" w:rsidRPr="0070339E">
        <w:rPr>
          <w:rFonts w:ascii="Times New Roman" w:hAnsi="Times New Roman"/>
          <w:sz w:val="24"/>
          <w:szCs w:val="24"/>
        </w:rPr>
        <w:t>. go</w:t>
      </w:r>
      <w:r w:rsidR="00B75F4F" w:rsidRPr="0070339E">
        <w:rPr>
          <w:rFonts w:ascii="Times New Roman" w:hAnsi="Times New Roman"/>
          <w:sz w:val="24"/>
          <w:szCs w:val="24"/>
        </w:rPr>
        <w:t xml:space="preserve">dine u </w:t>
      </w:r>
      <w:r w:rsidR="00DE67A2" w:rsidRPr="0070339E">
        <w:rPr>
          <w:rFonts w:ascii="Times New Roman" w:hAnsi="Times New Roman"/>
          <w:sz w:val="24"/>
          <w:szCs w:val="24"/>
        </w:rPr>
        <w:t>Naftalan</w:t>
      </w:r>
      <w:r w:rsidR="00546AD7">
        <w:rPr>
          <w:rFonts w:ascii="Times New Roman" w:hAnsi="Times New Roman"/>
          <w:sz w:val="24"/>
          <w:szCs w:val="24"/>
        </w:rPr>
        <w:t>-</w:t>
      </w:r>
      <w:r w:rsidR="00DE67A2" w:rsidRPr="0070339E">
        <w:rPr>
          <w:rFonts w:ascii="Times New Roman" w:hAnsi="Times New Roman"/>
          <w:sz w:val="24"/>
          <w:szCs w:val="24"/>
        </w:rPr>
        <w:t>u</w:t>
      </w:r>
      <w:r w:rsidR="00B75F4F" w:rsidRPr="0070339E">
        <w:rPr>
          <w:rFonts w:ascii="Times New Roman" w:hAnsi="Times New Roman"/>
          <w:sz w:val="24"/>
          <w:szCs w:val="24"/>
        </w:rPr>
        <w:t xml:space="preserve"> je bilo zaposleno</w:t>
      </w:r>
      <w:r w:rsidR="00C24E1B" w:rsidRPr="0070339E">
        <w:rPr>
          <w:rFonts w:ascii="Times New Roman" w:hAnsi="Times New Roman"/>
          <w:sz w:val="24"/>
          <w:szCs w:val="24"/>
        </w:rPr>
        <w:t xml:space="preserve"> ukupno</w:t>
      </w:r>
      <w:r w:rsidR="00CC00CD" w:rsidRPr="0070339E">
        <w:rPr>
          <w:rFonts w:ascii="Times New Roman" w:hAnsi="Times New Roman"/>
          <w:sz w:val="24"/>
          <w:szCs w:val="24"/>
        </w:rPr>
        <w:t xml:space="preserve"> </w:t>
      </w:r>
      <w:r w:rsidR="001320AB" w:rsidRPr="0070339E">
        <w:rPr>
          <w:rFonts w:ascii="Times New Roman" w:hAnsi="Times New Roman"/>
          <w:sz w:val="24"/>
          <w:szCs w:val="24"/>
        </w:rPr>
        <w:t>1</w:t>
      </w:r>
      <w:r w:rsidR="002F4332">
        <w:rPr>
          <w:rFonts w:ascii="Times New Roman" w:hAnsi="Times New Roman"/>
          <w:sz w:val="24"/>
          <w:szCs w:val="24"/>
        </w:rPr>
        <w:t>70</w:t>
      </w:r>
      <w:r w:rsidR="00614228">
        <w:rPr>
          <w:rFonts w:ascii="Times New Roman" w:hAnsi="Times New Roman"/>
          <w:sz w:val="24"/>
          <w:szCs w:val="24"/>
        </w:rPr>
        <w:t xml:space="preserve"> </w:t>
      </w:r>
      <w:r w:rsidR="00C24E1B" w:rsidRPr="0070339E">
        <w:rPr>
          <w:rFonts w:ascii="Times New Roman" w:hAnsi="Times New Roman"/>
          <w:sz w:val="24"/>
          <w:szCs w:val="24"/>
        </w:rPr>
        <w:t>djelatnika od čega</w:t>
      </w:r>
      <w:r w:rsidR="002F4332">
        <w:rPr>
          <w:rFonts w:ascii="Times New Roman" w:hAnsi="Times New Roman"/>
          <w:sz w:val="24"/>
          <w:szCs w:val="24"/>
        </w:rPr>
        <w:t xml:space="preserve"> 77</w:t>
      </w:r>
      <w:r w:rsidR="00C24E1B" w:rsidRPr="0070339E">
        <w:rPr>
          <w:rFonts w:ascii="Times New Roman" w:hAnsi="Times New Roman"/>
          <w:sz w:val="24"/>
          <w:szCs w:val="24"/>
        </w:rPr>
        <w:t xml:space="preserve"> zdravstvena djelatnika, a </w:t>
      </w:r>
      <w:r w:rsidR="002F4332">
        <w:rPr>
          <w:rFonts w:ascii="Times New Roman" w:hAnsi="Times New Roman"/>
          <w:sz w:val="24"/>
          <w:szCs w:val="24"/>
        </w:rPr>
        <w:t>93</w:t>
      </w:r>
      <w:r w:rsidR="00C24E1B" w:rsidRPr="0070339E">
        <w:rPr>
          <w:rFonts w:ascii="Times New Roman" w:hAnsi="Times New Roman"/>
          <w:sz w:val="24"/>
          <w:szCs w:val="24"/>
        </w:rPr>
        <w:t xml:space="preserve"> nezdravstvena djelatnika.</w:t>
      </w:r>
      <w:r w:rsidR="0022792E" w:rsidRPr="0070339E">
        <w:rPr>
          <w:rFonts w:ascii="Times New Roman" w:hAnsi="Times New Roman"/>
          <w:sz w:val="24"/>
          <w:szCs w:val="24"/>
        </w:rPr>
        <w:t xml:space="preserve"> U</w:t>
      </w:r>
      <w:r w:rsidR="00A43FD6" w:rsidRPr="0070339E">
        <w:rPr>
          <w:rFonts w:ascii="Times New Roman" w:hAnsi="Times New Roman"/>
          <w:sz w:val="24"/>
          <w:szCs w:val="24"/>
        </w:rPr>
        <w:t xml:space="preserve"> radni odnos na neodređeno</w:t>
      </w:r>
      <w:r>
        <w:rPr>
          <w:rFonts w:ascii="Times New Roman" w:hAnsi="Times New Roman"/>
          <w:sz w:val="24"/>
          <w:szCs w:val="24"/>
        </w:rPr>
        <w:t xml:space="preserve"> vrijeme</w:t>
      </w:r>
      <w:r w:rsidR="00A43FD6" w:rsidRPr="0070339E">
        <w:rPr>
          <w:rFonts w:ascii="Times New Roman" w:hAnsi="Times New Roman"/>
          <w:sz w:val="24"/>
          <w:szCs w:val="24"/>
        </w:rPr>
        <w:t xml:space="preserve"> u </w:t>
      </w:r>
      <w:r w:rsidR="0022792E" w:rsidRPr="0070339E">
        <w:rPr>
          <w:rFonts w:ascii="Times New Roman" w:hAnsi="Times New Roman"/>
          <w:sz w:val="24"/>
          <w:szCs w:val="24"/>
        </w:rPr>
        <w:t>20</w:t>
      </w:r>
      <w:r w:rsidR="00E2437D" w:rsidRPr="0070339E">
        <w:rPr>
          <w:rFonts w:ascii="Times New Roman" w:hAnsi="Times New Roman"/>
          <w:sz w:val="24"/>
          <w:szCs w:val="24"/>
        </w:rPr>
        <w:t>2</w:t>
      </w:r>
      <w:r w:rsidR="002F4332">
        <w:rPr>
          <w:rFonts w:ascii="Times New Roman" w:hAnsi="Times New Roman"/>
          <w:sz w:val="24"/>
          <w:szCs w:val="24"/>
        </w:rPr>
        <w:t>4</w:t>
      </w:r>
      <w:r w:rsidR="0022792E" w:rsidRPr="007033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godini</w:t>
      </w:r>
      <w:r w:rsidR="00A43FD6" w:rsidRPr="0070339E">
        <w:rPr>
          <w:rFonts w:ascii="Times New Roman" w:hAnsi="Times New Roman"/>
          <w:sz w:val="24"/>
          <w:szCs w:val="24"/>
        </w:rPr>
        <w:t xml:space="preserve"> primljen</w:t>
      </w:r>
      <w:r w:rsidR="0022792E" w:rsidRPr="0070339E">
        <w:rPr>
          <w:rFonts w:ascii="Times New Roman" w:hAnsi="Times New Roman"/>
          <w:sz w:val="24"/>
          <w:szCs w:val="24"/>
        </w:rPr>
        <w:t>i su</w:t>
      </w:r>
      <w:r w:rsidR="00D738AB" w:rsidRPr="00840D0D">
        <w:rPr>
          <w:rFonts w:ascii="Times New Roman" w:hAnsi="Times New Roman"/>
          <w:sz w:val="24"/>
          <w:szCs w:val="24"/>
        </w:rPr>
        <w:t>:</w:t>
      </w:r>
      <w:r w:rsidR="00F32692" w:rsidRPr="00840D0D">
        <w:rPr>
          <w:rFonts w:ascii="Times New Roman" w:hAnsi="Times New Roman"/>
          <w:sz w:val="24"/>
          <w:szCs w:val="24"/>
        </w:rPr>
        <w:t xml:space="preserve"> </w:t>
      </w:r>
      <w:r w:rsidR="002F4332">
        <w:rPr>
          <w:rFonts w:ascii="Times New Roman" w:hAnsi="Times New Roman"/>
          <w:sz w:val="24"/>
          <w:szCs w:val="24"/>
        </w:rPr>
        <w:t>3</w:t>
      </w:r>
      <w:r w:rsidR="00840D0D" w:rsidRPr="00840D0D">
        <w:rPr>
          <w:rFonts w:ascii="Times New Roman" w:hAnsi="Times New Roman"/>
          <w:sz w:val="24"/>
          <w:szCs w:val="24"/>
        </w:rPr>
        <w:t xml:space="preserve"> higijeničar</w:t>
      </w:r>
      <w:r w:rsidR="002F4332">
        <w:rPr>
          <w:rFonts w:ascii="Times New Roman" w:hAnsi="Times New Roman"/>
          <w:sz w:val="24"/>
          <w:szCs w:val="24"/>
        </w:rPr>
        <w:t>a</w:t>
      </w:r>
      <w:r w:rsidR="00840D0D">
        <w:rPr>
          <w:rFonts w:ascii="Times New Roman" w:hAnsi="Times New Roman"/>
          <w:sz w:val="24"/>
          <w:szCs w:val="24"/>
        </w:rPr>
        <w:t>/</w:t>
      </w:r>
      <w:proofErr w:type="spellStart"/>
      <w:r w:rsidR="00840D0D" w:rsidRPr="00840D0D">
        <w:rPr>
          <w:rFonts w:ascii="Times New Roman" w:hAnsi="Times New Roman"/>
          <w:sz w:val="24"/>
          <w:szCs w:val="24"/>
        </w:rPr>
        <w:t>k</w:t>
      </w:r>
      <w:r w:rsidR="002F4332">
        <w:rPr>
          <w:rFonts w:ascii="Times New Roman" w:hAnsi="Times New Roman"/>
          <w:sz w:val="24"/>
          <w:szCs w:val="24"/>
        </w:rPr>
        <w:t>e</w:t>
      </w:r>
      <w:proofErr w:type="spellEnd"/>
      <w:r w:rsidR="00840D0D">
        <w:rPr>
          <w:rFonts w:ascii="Times New Roman" w:hAnsi="Times New Roman"/>
          <w:sz w:val="24"/>
          <w:szCs w:val="24"/>
        </w:rPr>
        <w:t>, 1 medicinsk</w:t>
      </w:r>
      <w:r w:rsidR="00DD77BA">
        <w:rPr>
          <w:rFonts w:ascii="Times New Roman" w:hAnsi="Times New Roman"/>
          <w:sz w:val="24"/>
          <w:szCs w:val="24"/>
        </w:rPr>
        <w:t>i/ka</w:t>
      </w:r>
      <w:r w:rsidR="00840D0D">
        <w:rPr>
          <w:rFonts w:ascii="Times New Roman" w:hAnsi="Times New Roman"/>
          <w:sz w:val="24"/>
          <w:szCs w:val="24"/>
        </w:rPr>
        <w:t xml:space="preserve"> tehničar/ka,</w:t>
      </w:r>
      <w:r w:rsidR="002F4332">
        <w:rPr>
          <w:rFonts w:ascii="Times New Roman" w:hAnsi="Times New Roman"/>
          <w:sz w:val="24"/>
          <w:szCs w:val="24"/>
        </w:rPr>
        <w:t xml:space="preserve"> 1 prvostupnik/ </w:t>
      </w:r>
      <w:proofErr w:type="spellStart"/>
      <w:r w:rsidR="002F4332">
        <w:rPr>
          <w:rFonts w:ascii="Times New Roman" w:hAnsi="Times New Roman"/>
          <w:sz w:val="24"/>
          <w:szCs w:val="24"/>
        </w:rPr>
        <w:t>ca</w:t>
      </w:r>
      <w:proofErr w:type="spellEnd"/>
      <w:r w:rsidR="002F4332">
        <w:rPr>
          <w:rFonts w:ascii="Times New Roman" w:hAnsi="Times New Roman"/>
          <w:sz w:val="24"/>
          <w:szCs w:val="24"/>
        </w:rPr>
        <w:t xml:space="preserve"> kinezi</w:t>
      </w:r>
      <w:r w:rsidR="00DD77BA">
        <w:rPr>
          <w:rFonts w:ascii="Times New Roman" w:hAnsi="Times New Roman"/>
          <w:sz w:val="24"/>
          <w:szCs w:val="24"/>
        </w:rPr>
        <w:t>o</w:t>
      </w:r>
      <w:r w:rsidR="002F4332">
        <w:rPr>
          <w:rFonts w:ascii="Times New Roman" w:hAnsi="Times New Roman"/>
          <w:sz w:val="24"/>
          <w:szCs w:val="24"/>
        </w:rPr>
        <w:t>logije, 1 magistar/</w:t>
      </w:r>
      <w:proofErr w:type="spellStart"/>
      <w:r w:rsidR="00DD77BA">
        <w:rPr>
          <w:rFonts w:ascii="Times New Roman" w:hAnsi="Times New Roman"/>
          <w:sz w:val="24"/>
          <w:szCs w:val="24"/>
        </w:rPr>
        <w:t>ica</w:t>
      </w:r>
      <w:proofErr w:type="spellEnd"/>
      <w:r w:rsidR="002F4332">
        <w:rPr>
          <w:rFonts w:ascii="Times New Roman" w:hAnsi="Times New Roman"/>
          <w:sz w:val="24"/>
          <w:szCs w:val="24"/>
        </w:rPr>
        <w:t xml:space="preserve"> kineziologije</w:t>
      </w:r>
      <w:r w:rsidR="00840D0D">
        <w:rPr>
          <w:rFonts w:ascii="Times New Roman" w:hAnsi="Times New Roman"/>
          <w:sz w:val="24"/>
          <w:szCs w:val="24"/>
        </w:rPr>
        <w:t xml:space="preserve">, 1 </w:t>
      </w:r>
      <w:r w:rsidR="00DD77BA">
        <w:rPr>
          <w:rFonts w:ascii="Times New Roman" w:hAnsi="Times New Roman"/>
          <w:sz w:val="24"/>
          <w:szCs w:val="24"/>
        </w:rPr>
        <w:t>administrator/</w:t>
      </w:r>
      <w:proofErr w:type="spellStart"/>
      <w:r w:rsidR="00DD77BA">
        <w:rPr>
          <w:rFonts w:ascii="Times New Roman" w:hAnsi="Times New Roman"/>
          <w:sz w:val="24"/>
          <w:szCs w:val="24"/>
        </w:rPr>
        <w:t>ica</w:t>
      </w:r>
      <w:proofErr w:type="spellEnd"/>
      <w:r w:rsidR="00840D0D">
        <w:rPr>
          <w:rFonts w:ascii="Times New Roman" w:hAnsi="Times New Roman"/>
          <w:sz w:val="24"/>
          <w:szCs w:val="24"/>
        </w:rPr>
        <w:t xml:space="preserve">, </w:t>
      </w:r>
      <w:r w:rsidR="002F4332">
        <w:rPr>
          <w:rFonts w:ascii="Times New Roman" w:hAnsi="Times New Roman"/>
          <w:sz w:val="24"/>
          <w:szCs w:val="24"/>
        </w:rPr>
        <w:t>2</w:t>
      </w:r>
      <w:r w:rsidR="00840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0D0D">
        <w:rPr>
          <w:rFonts w:ascii="Times New Roman" w:hAnsi="Times New Roman"/>
          <w:sz w:val="24"/>
          <w:szCs w:val="24"/>
        </w:rPr>
        <w:t>recepcioner</w:t>
      </w:r>
      <w:proofErr w:type="spellEnd"/>
      <w:r w:rsidR="00840D0D">
        <w:rPr>
          <w:rFonts w:ascii="Times New Roman" w:hAnsi="Times New Roman"/>
          <w:sz w:val="24"/>
          <w:szCs w:val="24"/>
        </w:rPr>
        <w:t>/k</w:t>
      </w:r>
      <w:r w:rsidR="002F4332">
        <w:rPr>
          <w:rFonts w:ascii="Times New Roman" w:hAnsi="Times New Roman"/>
          <w:sz w:val="24"/>
          <w:szCs w:val="24"/>
        </w:rPr>
        <w:t>a (kontrolor)</w:t>
      </w:r>
      <w:r w:rsidR="00840D0D">
        <w:rPr>
          <w:rFonts w:ascii="Times New Roman" w:hAnsi="Times New Roman"/>
          <w:sz w:val="24"/>
          <w:szCs w:val="24"/>
        </w:rPr>
        <w:t xml:space="preserve">, </w:t>
      </w:r>
      <w:r w:rsidR="002F4332">
        <w:rPr>
          <w:rFonts w:ascii="Times New Roman" w:hAnsi="Times New Roman"/>
          <w:sz w:val="24"/>
          <w:szCs w:val="24"/>
        </w:rPr>
        <w:t>2 prvostupnika/</w:t>
      </w:r>
      <w:proofErr w:type="spellStart"/>
      <w:r w:rsidR="002F4332">
        <w:rPr>
          <w:rFonts w:ascii="Times New Roman" w:hAnsi="Times New Roman"/>
          <w:sz w:val="24"/>
          <w:szCs w:val="24"/>
        </w:rPr>
        <w:t>ce</w:t>
      </w:r>
      <w:proofErr w:type="spellEnd"/>
      <w:r w:rsidR="002F4332">
        <w:rPr>
          <w:rFonts w:ascii="Times New Roman" w:hAnsi="Times New Roman"/>
          <w:sz w:val="24"/>
          <w:szCs w:val="24"/>
        </w:rPr>
        <w:t xml:space="preserve"> fizioterapije</w:t>
      </w:r>
      <w:r w:rsidR="00840D0D">
        <w:rPr>
          <w:rFonts w:ascii="Times New Roman" w:hAnsi="Times New Roman"/>
          <w:sz w:val="24"/>
          <w:szCs w:val="24"/>
        </w:rPr>
        <w:t>, 1 kozmetičar/ka</w:t>
      </w:r>
      <w:r w:rsidR="002F4332">
        <w:rPr>
          <w:rFonts w:ascii="Times New Roman" w:hAnsi="Times New Roman"/>
          <w:sz w:val="24"/>
          <w:szCs w:val="24"/>
        </w:rPr>
        <w:t>, 1 vrtlar/</w:t>
      </w:r>
      <w:proofErr w:type="spellStart"/>
      <w:r w:rsidR="002F4332">
        <w:rPr>
          <w:rFonts w:ascii="Times New Roman" w:hAnsi="Times New Roman"/>
          <w:sz w:val="24"/>
          <w:szCs w:val="24"/>
        </w:rPr>
        <w:t>ica</w:t>
      </w:r>
      <w:proofErr w:type="spellEnd"/>
      <w:r w:rsidR="002F4332">
        <w:rPr>
          <w:rFonts w:ascii="Times New Roman" w:hAnsi="Times New Roman"/>
          <w:sz w:val="24"/>
          <w:szCs w:val="24"/>
        </w:rPr>
        <w:t>, 1 konobar/</w:t>
      </w:r>
      <w:proofErr w:type="spellStart"/>
      <w:r w:rsidR="002F4332">
        <w:rPr>
          <w:rFonts w:ascii="Times New Roman" w:hAnsi="Times New Roman"/>
          <w:sz w:val="24"/>
          <w:szCs w:val="24"/>
        </w:rPr>
        <w:t>ica</w:t>
      </w:r>
      <w:proofErr w:type="spellEnd"/>
      <w:r w:rsidR="00DD77BA">
        <w:rPr>
          <w:rFonts w:ascii="Times New Roman" w:hAnsi="Times New Roman"/>
          <w:sz w:val="24"/>
          <w:szCs w:val="24"/>
        </w:rPr>
        <w:t xml:space="preserve"> (ekonom)</w:t>
      </w:r>
      <w:r w:rsidR="002F4332">
        <w:rPr>
          <w:rFonts w:ascii="Times New Roman" w:hAnsi="Times New Roman"/>
          <w:sz w:val="24"/>
          <w:szCs w:val="24"/>
        </w:rPr>
        <w:t xml:space="preserve"> </w:t>
      </w:r>
    </w:p>
    <w:p w14:paraId="724A8D0C" w14:textId="3111FDD8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4244F" w14:textId="4331A033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B9287" w14:textId="3F912241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DBEFF4" w14:textId="39914366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37F24" w14:textId="10C14ED0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94705" w14:textId="10267345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0D97C" w14:textId="3D444576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98A6B" w14:textId="77B020C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77B71" w14:textId="5D777A96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6B2D8" w14:textId="5527E6F4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3FA5A" w14:textId="3D38351F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ACBCA" w14:textId="2648E2F2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71A3B" w14:textId="3DF62BBD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8D77D" w14:textId="106FAA7C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C02E2" w14:textId="4737558B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98D3D" w14:textId="250C2B8A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F0075" w14:textId="11F1729B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65F93" w14:textId="334D7E3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0E378" w14:textId="3A534F5B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82AF4" w14:textId="1F34A4C4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A1A9AD" w14:textId="71F72DB5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16D1E" w14:textId="75E3F52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41EB62" w14:textId="0CEFEA3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A059E" w14:textId="14B667FA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F92C0" w14:textId="346D9AAE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3D143" w14:textId="380FDF31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22B59" w14:textId="0C75D94A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DAB33" w14:textId="2D3D89A9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6F2D6" w14:textId="4D2EB86F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66591D" w14:textId="35755865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BBE53" w14:textId="77777777" w:rsidR="00B87DFC" w:rsidRDefault="00B87DFC" w:rsidP="00C92D0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D46BA" w14:textId="0BC148C3" w:rsidR="000F65CB" w:rsidRPr="00614228" w:rsidRDefault="00750CD2" w:rsidP="000F65CB">
      <w:pPr>
        <w:ind w:firstLine="426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50CD2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V. </w:t>
      </w:r>
      <w:r w:rsidR="005E7A4E" w:rsidRPr="00750CD2">
        <w:rPr>
          <w:rFonts w:ascii="Times New Roman" w:hAnsi="Times New Roman"/>
          <w:b/>
          <w:bCs/>
          <w:sz w:val="24"/>
          <w:szCs w:val="24"/>
          <w:u w:val="single"/>
        </w:rPr>
        <w:t>FINANCIJSKO POSLOVANJE NAFTALAN</w:t>
      </w:r>
      <w:r w:rsidR="00FB2E55">
        <w:rPr>
          <w:rFonts w:ascii="Times New Roman" w:hAnsi="Times New Roman"/>
          <w:b/>
          <w:bCs/>
          <w:sz w:val="24"/>
          <w:szCs w:val="24"/>
          <w:u w:val="single"/>
        </w:rPr>
        <w:t>-A</w:t>
      </w:r>
      <w:r w:rsidR="005E7A4E" w:rsidRPr="00750CD2">
        <w:rPr>
          <w:rFonts w:ascii="Times New Roman" w:hAnsi="Times New Roman"/>
          <w:b/>
          <w:bCs/>
          <w:sz w:val="24"/>
          <w:szCs w:val="24"/>
          <w:u w:val="single"/>
        </w:rPr>
        <w:t xml:space="preserve"> U 20</w:t>
      </w:r>
      <w:r w:rsidR="00735087" w:rsidRPr="00750CD2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DD77BA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5E7A4E" w:rsidRPr="00750CD2">
        <w:rPr>
          <w:rFonts w:ascii="Times New Roman" w:hAnsi="Times New Roman"/>
          <w:b/>
          <w:bCs/>
          <w:sz w:val="24"/>
          <w:szCs w:val="24"/>
          <w:u w:val="single"/>
        </w:rPr>
        <w:t>. GODINI</w:t>
      </w:r>
    </w:p>
    <w:tbl>
      <w:tblPr>
        <w:tblW w:w="10120" w:type="dxa"/>
        <w:tblInd w:w="-577" w:type="dxa"/>
        <w:tblLook w:val="04A0" w:firstRow="1" w:lastRow="0" w:firstColumn="1" w:lastColumn="0" w:noHBand="0" w:noVBand="1"/>
      </w:tblPr>
      <w:tblGrid>
        <w:gridCol w:w="614"/>
        <w:gridCol w:w="948"/>
        <w:gridCol w:w="4025"/>
        <w:gridCol w:w="2372"/>
        <w:gridCol w:w="2161"/>
      </w:tblGrid>
      <w:tr w:rsidR="00DD77BA" w:rsidRPr="00DD77BA" w14:paraId="17A97640" w14:textId="77777777" w:rsidTr="00DD77BA">
        <w:trPr>
          <w:trHeight w:val="425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6CA4E2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Red. br.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2FE686B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O K A Z A T E L J I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87D27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- XII. 2023.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6286C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I.- XII. 2024.</w:t>
            </w:r>
          </w:p>
        </w:tc>
      </w:tr>
      <w:tr w:rsidR="00DD77BA" w:rsidRPr="00DD77BA" w14:paraId="7ACF66D4" w14:textId="77777777" w:rsidTr="00DD77BA">
        <w:trPr>
          <w:trHeight w:val="197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2A45DF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FC766EE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C4C062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53642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D77BA" w:rsidRPr="00DD77BA" w14:paraId="678BF927" w14:textId="77777777" w:rsidTr="00DD77BA">
        <w:trPr>
          <w:trHeight w:val="207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F97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ABEF9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I.  PRIHODI - PRIMICI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3C5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7BE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D77BA" w:rsidRPr="00DD77BA" w14:paraId="137599C9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46FF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B22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HZZO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46D5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3.726.213,95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517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4.507.090,46</w:t>
            </w:r>
          </w:p>
        </w:tc>
      </w:tr>
      <w:tr w:rsidR="00DD77BA" w:rsidRPr="00DD77BA" w14:paraId="0DA16BF4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731D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0C4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FA4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- proračuni bolnica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0883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3.051.218,60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4CA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3.594.227,70</w:t>
            </w:r>
          </w:p>
        </w:tc>
      </w:tr>
      <w:tr w:rsidR="00DD77BA" w:rsidRPr="00DD77BA" w14:paraId="2AA858B3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157C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DF1B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D54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- dopunsko zdravstveno osiguranje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565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633.356,65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CEE8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866.385,56</w:t>
            </w:r>
          </w:p>
        </w:tc>
      </w:tr>
      <w:tr w:rsidR="00DD77BA" w:rsidRPr="00DD77BA" w14:paraId="17B21306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146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B087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0A6C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- ugovor za primarnu zdravstvenu zaštitu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DA3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D83A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2C12C1F3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7A83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C94F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ADB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 xml:space="preserve">- za usluge izvan ugovorenog limita </w:t>
            </w: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4E4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29.704,69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F3BE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39.532,19</w:t>
            </w:r>
          </w:p>
        </w:tc>
      </w:tr>
      <w:tr w:rsidR="00DD77BA" w:rsidRPr="00DD77BA" w14:paraId="6BA2B746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FEA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78FA4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552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- na osnovi ozljeda na radu i prof. bolesti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8DF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11.934,01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44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6.945,01</w:t>
            </w:r>
          </w:p>
        </w:tc>
      </w:tr>
      <w:tr w:rsidR="00DD77BA" w:rsidRPr="00DD77BA" w14:paraId="04605A40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E1B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982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Prihodi od pruženih usluga drugim zdravstvenim ustanovama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AB6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329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09BC480D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F8FA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3B5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Prihodi od proračuna (središnji i lokalni)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9E6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864.814,99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D12C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625.840,34</w:t>
            </w:r>
          </w:p>
        </w:tc>
      </w:tr>
      <w:tr w:rsidR="00DD77BA" w:rsidRPr="00DD77BA" w14:paraId="435D3EC9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BDA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8C7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Prihodi od ostalih korisnika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01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1.441.683,03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DDCA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1.965.392,66</w:t>
            </w:r>
          </w:p>
        </w:tc>
      </w:tr>
      <w:tr w:rsidR="00DD77BA" w:rsidRPr="00DD77BA" w14:paraId="3E36C683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8BE5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917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Prihodi od participacije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C9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4.751,17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192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6.131,42</w:t>
            </w:r>
          </w:p>
        </w:tc>
      </w:tr>
      <w:tr w:rsidR="00DD77BA" w:rsidRPr="00DD77BA" w14:paraId="1ACDE0D2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7065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66C69B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Prihodi od EU projekata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0213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5D9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185.317,67</w:t>
            </w:r>
          </w:p>
        </w:tc>
      </w:tr>
      <w:tr w:rsidR="00DD77BA" w:rsidRPr="00DD77BA" w14:paraId="2DC0679A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A623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25A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 xml:space="preserve">Ostali i izvanredni prihodi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9747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467.252,40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DC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283.749,96</w:t>
            </w:r>
          </w:p>
        </w:tc>
      </w:tr>
      <w:tr w:rsidR="00DD77BA" w:rsidRPr="00DD77BA" w14:paraId="3D621AB9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34886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224C2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zaduženja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18E56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260387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3B9AB3A8" w14:textId="77777777" w:rsidTr="00DD77BA">
        <w:trPr>
          <w:trHeight w:val="241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A80C63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0225C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PRIHODI I PRIMICI (1 - 8)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62E89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6.504.715,54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8168B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7.573.522,51</w:t>
            </w:r>
          </w:p>
        </w:tc>
      </w:tr>
      <w:tr w:rsidR="00DD77BA" w:rsidRPr="00DD77BA" w14:paraId="4B71097E" w14:textId="77777777" w:rsidTr="00DD77BA">
        <w:trPr>
          <w:trHeight w:val="301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0E05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85B56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II. RASHODI - IZDACI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E7BF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595C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D77BA" w:rsidRPr="00DD77BA" w14:paraId="7E4DF2E1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657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335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 xml:space="preserve">Lijekovi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E570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18.022,23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C17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23.851,31</w:t>
            </w:r>
          </w:p>
        </w:tc>
      </w:tr>
      <w:tr w:rsidR="00DD77BA" w:rsidRPr="00DD77BA" w14:paraId="32667B35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9D39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45F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Potrošni medicinski materijal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90FC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26.206,28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F08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30.915,26</w:t>
            </w:r>
          </w:p>
        </w:tc>
      </w:tr>
      <w:tr w:rsidR="00DD77BA" w:rsidRPr="00DD77BA" w14:paraId="5DD72D66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660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5F0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Krv i krvni pripravci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470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67BA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1B33FA5B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9260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2B11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Živežne namirnice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FBE0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203.613,46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8BE8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197.725,52</w:t>
            </w:r>
          </w:p>
        </w:tc>
      </w:tr>
      <w:tr w:rsidR="00DD77BA" w:rsidRPr="00DD77BA" w14:paraId="42B66A1E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BF1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5FF3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Medicinski plinovi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A720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32CA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62FE56B3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89A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B5A2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Materijal za održavanje čistoće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BAB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15.044,56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5838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17.464,79</w:t>
            </w:r>
          </w:p>
        </w:tc>
      </w:tr>
      <w:tr w:rsidR="00DD77BA" w:rsidRPr="00DD77BA" w14:paraId="32CE0FEA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029E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4F54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A85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25.632,77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237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24.961,46</w:t>
            </w:r>
          </w:p>
        </w:tc>
      </w:tr>
      <w:tr w:rsidR="00DD77BA" w:rsidRPr="00DD77BA" w14:paraId="7E4B05C7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45DF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48E3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Ostali razni materijal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143F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264.884,47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7F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308.044,85</w:t>
            </w:r>
          </w:p>
        </w:tc>
      </w:tr>
      <w:tr w:rsidR="00DD77BA" w:rsidRPr="00DD77BA" w14:paraId="6D37FE0F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A7D8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963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Utrošena energija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8C1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494.401,26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3AB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492.975,52</w:t>
            </w:r>
          </w:p>
        </w:tc>
      </w:tr>
      <w:tr w:rsidR="00DD77BA" w:rsidRPr="00DD77BA" w14:paraId="1263AE60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7565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658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Ugrađeni rezervni dijelovi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C57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13.638,70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27A5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19.381,67</w:t>
            </w:r>
          </w:p>
        </w:tc>
      </w:tr>
      <w:tr w:rsidR="00DD77BA" w:rsidRPr="00DD77BA" w14:paraId="284337A7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4CA7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69D9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Poštanski izdaci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91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27.342,89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4A2C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27.802,47</w:t>
            </w:r>
          </w:p>
        </w:tc>
      </w:tr>
      <w:tr w:rsidR="00DD77BA" w:rsidRPr="00DD77BA" w14:paraId="4B773E86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C7F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9DA7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Tekuće i investicijsko održavanje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A7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266.473,45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503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328.555,61</w:t>
            </w:r>
          </w:p>
        </w:tc>
      </w:tr>
      <w:tr w:rsidR="00DD77BA" w:rsidRPr="00DD77BA" w14:paraId="4FAF3B38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6DC7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2FA0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Izdaci za usluge drugih zdravstvenih ustanova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023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12.614,27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37F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23.799,29</w:t>
            </w:r>
          </w:p>
        </w:tc>
      </w:tr>
      <w:tr w:rsidR="00DD77BA" w:rsidRPr="00DD77BA" w14:paraId="2491D4A5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FBA4C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1ABF1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Ostali izdaci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229CA5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649.184,18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0290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566.085,92</w:t>
            </w:r>
          </w:p>
        </w:tc>
      </w:tr>
      <w:tr w:rsidR="00DD77BA" w:rsidRPr="00DD77BA" w14:paraId="59CF93D2" w14:textId="77777777" w:rsidTr="00DD77BA">
        <w:trPr>
          <w:trHeight w:val="218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978A26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B7CDE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 (1 - 14)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1218CF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2.017.058,52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E6D9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2.061.563,67</w:t>
            </w:r>
          </w:p>
        </w:tc>
      </w:tr>
      <w:tr w:rsidR="00DD77BA" w:rsidRPr="00DD77BA" w14:paraId="4496DE6C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C831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BEAB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Bruto plaće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68CE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2.970.520,21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9A0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3.950.825,28</w:t>
            </w:r>
          </w:p>
        </w:tc>
      </w:tr>
      <w:tr w:rsidR="00DD77BA" w:rsidRPr="00DD77BA" w14:paraId="4F21C9BC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8B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E892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 xml:space="preserve">Ostali rashodi za zaposlene </w:t>
            </w: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E12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147.167,52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BD9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156.202,48</w:t>
            </w:r>
          </w:p>
        </w:tc>
      </w:tr>
      <w:tr w:rsidR="00DD77BA" w:rsidRPr="00DD77BA" w14:paraId="1F6FE178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16C0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9B58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3F6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430.031,05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5AB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560.243,10</w:t>
            </w:r>
          </w:p>
        </w:tc>
      </w:tr>
      <w:tr w:rsidR="00DD77BA" w:rsidRPr="00DD77BA" w14:paraId="17890932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7B0F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A659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Izdaci za prijevoz zaposlenika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6B23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125.731,21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108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134.082,17</w:t>
            </w:r>
          </w:p>
        </w:tc>
      </w:tr>
      <w:tr w:rsidR="00DD77BA" w:rsidRPr="00DD77BA" w14:paraId="1AC6F271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27EF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3D54E5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 xml:space="preserve">Ostali materijalni rashodi za zaposlenike </w:t>
            </w: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EEB193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24.005,78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1F532F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25.452,90</w:t>
            </w:r>
          </w:p>
        </w:tc>
      </w:tr>
      <w:tr w:rsidR="00DD77BA" w:rsidRPr="00DD77BA" w14:paraId="2F9CF873" w14:textId="77777777" w:rsidTr="00DD77BA">
        <w:trPr>
          <w:trHeight w:val="218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F8DA6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FA06C6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 za zaposlene (15- 19)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E2C23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3.697.455,77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22548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4.826.805,93</w:t>
            </w:r>
          </w:p>
        </w:tc>
      </w:tr>
      <w:tr w:rsidR="00DD77BA" w:rsidRPr="00DD77BA" w14:paraId="115415BA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1D95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B3BF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7F53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109.281,13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844B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82.465,40</w:t>
            </w:r>
          </w:p>
        </w:tc>
      </w:tr>
      <w:tr w:rsidR="00DD77BA" w:rsidRPr="00DD77BA" w14:paraId="67FB7D16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4A4C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3B9F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Izdaci za kapitalna ulaganja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1FD2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319.633,02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AC0E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95610130"/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307.283,62</w:t>
            </w:r>
            <w:bookmarkEnd w:id="0"/>
          </w:p>
        </w:tc>
      </w:tr>
      <w:tr w:rsidR="00DD77BA" w:rsidRPr="00DD77BA" w14:paraId="4C2D17BB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935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2CB4A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Izdaci vezani za EU projekte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C48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9EE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53F5E118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4A94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1450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Ostali i izvanredni izdaci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2757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0C1E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5120A3F5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BD9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BD6A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4D38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337.839,84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2A6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337.839,84</w:t>
            </w:r>
          </w:p>
        </w:tc>
      </w:tr>
      <w:tr w:rsidR="00DD77BA" w:rsidRPr="00DD77BA" w14:paraId="2B11DD5C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EDD0C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B2F68B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Nabavna vrijednost prodane robe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8FC99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EF6C12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D77BA" w:rsidRPr="00DD77BA" w14:paraId="5561B7FA" w14:textId="77777777" w:rsidTr="00DD77BA">
        <w:trPr>
          <w:trHeight w:val="228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65DEC6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02F4A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 I IZDACI (1 - 25)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C31029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6.481.268,28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FCC6A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7.615.958,46</w:t>
            </w:r>
          </w:p>
        </w:tc>
      </w:tr>
      <w:tr w:rsidR="00DD77BA" w:rsidRPr="00DD77BA" w14:paraId="3CBFB3D1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DBD7E0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F56EF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Višak prihoda i primitaka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AFA5BE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23.447,26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764EF4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D77BA" w:rsidRPr="00DD77BA" w14:paraId="2F534FB0" w14:textId="77777777" w:rsidTr="00DD77BA">
        <w:trPr>
          <w:trHeight w:val="241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623637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C694E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Manjak prihoda i primitaka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4C23BD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03C2C1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000000"/>
                <w:sz w:val="18"/>
                <w:szCs w:val="18"/>
              </w:rPr>
              <w:t>42.435,95</w:t>
            </w:r>
          </w:p>
        </w:tc>
      </w:tr>
      <w:tr w:rsidR="00DD77BA" w:rsidRPr="00DD77BA" w14:paraId="20203C40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EA28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47D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Višak prihoda ih prethodnih godina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E5F3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75C65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77BA" w:rsidRPr="00DD77BA" w14:paraId="587C2534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2783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9247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Manjak prihoda iz prethodnih godina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5E6C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442.416,26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72AA7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418.969,00</w:t>
            </w:r>
          </w:p>
        </w:tc>
      </w:tr>
      <w:tr w:rsidR="00DD77BA" w:rsidRPr="00DD77BA" w14:paraId="165CC7FE" w14:textId="77777777" w:rsidTr="00DD77BA">
        <w:trPr>
          <w:trHeight w:val="21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223E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8302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Korigirani višak prihoda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BF71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D121C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77BA" w:rsidRPr="00DD77BA" w14:paraId="79B24739" w14:textId="77777777" w:rsidTr="00DD77BA">
        <w:trPr>
          <w:trHeight w:val="228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710CA8" w14:textId="77777777" w:rsidR="00DD77BA" w:rsidRPr="00DD77BA" w:rsidRDefault="00DD77BA" w:rsidP="00DD77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77BA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F310C" w14:textId="77777777" w:rsidR="00DD77BA" w:rsidRPr="00DD77BA" w:rsidRDefault="00DD77BA" w:rsidP="00DD77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Korigirani manjak prihoda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094CAF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418.969,00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FCB2C" w14:textId="77777777" w:rsidR="00DD77BA" w:rsidRPr="00DD77BA" w:rsidRDefault="00DD77BA" w:rsidP="00DD77B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77BA">
              <w:rPr>
                <w:rFonts w:ascii="Arial" w:hAnsi="Arial" w:cs="Arial"/>
                <w:sz w:val="18"/>
                <w:szCs w:val="18"/>
              </w:rPr>
              <w:t>461.404,95</w:t>
            </w:r>
          </w:p>
        </w:tc>
      </w:tr>
    </w:tbl>
    <w:p w14:paraId="71D5D3E5" w14:textId="77777777" w:rsidR="00614228" w:rsidRDefault="00614228" w:rsidP="00614228">
      <w:pPr>
        <w:pStyle w:val="Bezproreda"/>
        <w:rPr>
          <w:b/>
          <w:u w:val="single"/>
        </w:rPr>
      </w:pPr>
    </w:p>
    <w:p w14:paraId="18C26E78" w14:textId="0C6A641A" w:rsidR="00115348" w:rsidRPr="00DC6461" w:rsidRDefault="00115348" w:rsidP="00115348">
      <w:pPr>
        <w:pStyle w:val="Bezproreda"/>
        <w:ind w:firstLine="708"/>
        <w:rPr>
          <w:b/>
          <w:u w:val="single"/>
        </w:rPr>
      </w:pPr>
      <w:r w:rsidRPr="00DC6461">
        <w:rPr>
          <w:b/>
          <w:u w:val="single"/>
        </w:rPr>
        <w:lastRenderedPageBreak/>
        <w:t>Obrazloženje financijskog poslovanja Naftalan</w:t>
      </w:r>
      <w:r>
        <w:rPr>
          <w:b/>
          <w:u w:val="single"/>
        </w:rPr>
        <w:t>-</w:t>
      </w:r>
      <w:r w:rsidRPr="00DC6461">
        <w:rPr>
          <w:b/>
          <w:u w:val="single"/>
        </w:rPr>
        <w:t xml:space="preserve">a </w:t>
      </w:r>
      <w:r w:rsidR="00614228">
        <w:rPr>
          <w:b/>
          <w:u w:val="single"/>
        </w:rPr>
        <w:t xml:space="preserve">za </w:t>
      </w:r>
      <w:r w:rsidRPr="00DC6461">
        <w:rPr>
          <w:b/>
          <w:u w:val="single"/>
        </w:rPr>
        <w:t>202</w:t>
      </w:r>
      <w:r w:rsidR="00DD77BA">
        <w:rPr>
          <w:b/>
          <w:u w:val="single"/>
        </w:rPr>
        <w:t>4</w:t>
      </w:r>
      <w:r w:rsidRPr="00DC6461">
        <w:rPr>
          <w:b/>
          <w:u w:val="single"/>
        </w:rPr>
        <w:t>. god</w:t>
      </w:r>
      <w:r w:rsidR="00614228">
        <w:rPr>
          <w:b/>
          <w:u w:val="single"/>
        </w:rPr>
        <w:t>inu</w:t>
      </w:r>
    </w:p>
    <w:p w14:paraId="7614C2BD" w14:textId="77777777" w:rsidR="00115348" w:rsidRPr="0070339E" w:rsidRDefault="00115348" w:rsidP="00115348">
      <w:pPr>
        <w:pStyle w:val="Bezproreda"/>
        <w:rPr>
          <w:b/>
        </w:rPr>
      </w:pPr>
    </w:p>
    <w:p w14:paraId="157FC200" w14:textId="519F0350" w:rsidR="00115348" w:rsidRPr="00D148A1" w:rsidRDefault="00115348" w:rsidP="00115348">
      <w:pPr>
        <w:pStyle w:val="Bezproreda"/>
        <w:ind w:firstLine="284"/>
        <w:jc w:val="both"/>
        <w:rPr>
          <w:b/>
          <w:bCs/>
        </w:rPr>
      </w:pPr>
      <w:r w:rsidRPr="00D148A1">
        <w:rPr>
          <w:b/>
          <w:bCs/>
        </w:rPr>
        <w:t>Tijekom I.-XII. 202</w:t>
      </w:r>
      <w:r w:rsidR="00DD77BA">
        <w:rPr>
          <w:b/>
          <w:bCs/>
        </w:rPr>
        <w:t>4</w:t>
      </w:r>
      <w:r w:rsidRPr="00D148A1">
        <w:rPr>
          <w:b/>
          <w:bCs/>
        </w:rPr>
        <w:t>. godine ostvareni su sveukupno naplaćeni prihodi i primici u iznosu</w:t>
      </w:r>
      <w:r w:rsidR="003F0E6E">
        <w:rPr>
          <w:b/>
          <w:bCs/>
        </w:rPr>
        <w:t xml:space="preserve"> 6.504.715,54 EUR</w:t>
      </w:r>
      <w:r w:rsidR="003102F6">
        <w:rPr>
          <w:b/>
          <w:bCs/>
        </w:rPr>
        <w:t>, što je u usporedbi sa 202</w:t>
      </w:r>
      <w:r w:rsidR="003F0E6E">
        <w:rPr>
          <w:b/>
          <w:bCs/>
        </w:rPr>
        <w:t>2</w:t>
      </w:r>
      <w:r w:rsidR="003102F6">
        <w:rPr>
          <w:b/>
          <w:bCs/>
        </w:rPr>
        <w:t xml:space="preserve">. godinom, </w:t>
      </w:r>
      <w:r w:rsidR="003F0E6E">
        <w:rPr>
          <w:b/>
          <w:bCs/>
        </w:rPr>
        <w:t>19</w:t>
      </w:r>
      <w:r w:rsidR="003102F6">
        <w:rPr>
          <w:b/>
          <w:bCs/>
        </w:rPr>
        <w:t xml:space="preserve"> % više ostvarenih prihoda. </w:t>
      </w:r>
    </w:p>
    <w:p w14:paraId="61423EDB" w14:textId="77777777" w:rsidR="00115348" w:rsidRPr="0070339E" w:rsidRDefault="00115348" w:rsidP="00115348">
      <w:pPr>
        <w:pStyle w:val="Bezproreda"/>
      </w:pPr>
    </w:p>
    <w:p w14:paraId="457254FD" w14:textId="77777777" w:rsidR="00115348" w:rsidRPr="0070339E" w:rsidRDefault="00115348" w:rsidP="00115348">
      <w:pPr>
        <w:pStyle w:val="Bezproreda"/>
        <w:ind w:firstLine="142"/>
      </w:pPr>
      <w:r w:rsidRPr="0070339E">
        <w:t>Struktura prihoda i primitaka prema najznačajnijim izvorima je:</w:t>
      </w:r>
    </w:p>
    <w:p w14:paraId="4E334A4C" w14:textId="77777777" w:rsidR="00115348" w:rsidRPr="0070339E" w:rsidRDefault="00115348" w:rsidP="00115348">
      <w:pPr>
        <w:pStyle w:val="Bezproreda"/>
      </w:pPr>
    </w:p>
    <w:tbl>
      <w:tblPr>
        <w:tblW w:w="7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594"/>
        <w:gridCol w:w="1480"/>
      </w:tblGrid>
      <w:tr w:rsidR="00115348" w:rsidRPr="0070339E" w14:paraId="536CBCFE" w14:textId="77777777" w:rsidTr="003F0E6E">
        <w:trPr>
          <w:trHeight w:val="255"/>
          <w:jc w:val="center"/>
        </w:trPr>
        <w:tc>
          <w:tcPr>
            <w:tcW w:w="0" w:type="auto"/>
          </w:tcPr>
          <w:p w14:paraId="20B61E07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</w:p>
        </w:tc>
        <w:tc>
          <w:tcPr>
            <w:tcW w:w="0" w:type="auto"/>
          </w:tcPr>
          <w:p w14:paraId="05AAB2E9" w14:textId="03ABAB4D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Iznos u </w:t>
            </w:r>
            <w:r w:rsidR="003F0E6E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0" w:type="auto"/>
          </w:tcPr>
          <w:p w14:paraId="009E4940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Struktura %</w:t>
            </w:r>
          </w:p>
        </w:tc>
      </w:tr>
      <w:tr w:rsidR="00115348" w:rsidRPr="0070339E" w14:paraId="3700B293" w14:textId="77777777" w:rsidTr="003F0E6E">
        <w:trPr>
          <w:trHeight w:val="287"/>
          <w:jc w:val="center"/>
        </w:trPr>
        <w:tc>
          <w:tcPr>
            <w:tcW w:w="0" w:type="auto"/>
          </w:tcPr>
          <w:p w14:paraId="0D9B4494" w14:textId="4D25C7C1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Prihod od HZZO </w:t>
            </w:r>
          </w:p>
        </w:tc>
        <w:tc>
          <w:tcPr>
            <w:tcW w:w="0" w:type="auto"/>
            <w:vAlign w:val="bottom"/>
          </w:tcPr>
          <w:p w14:paraId="18A29AB7" w14:textId="305DB54E" w:rsidR="00115348" w:rsidRPr="0070339E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7BA">
              <w:rPr>
                <w:rFonts w:ascii="Times New Roman" w:hAnsi="Times New Roman"/>
                <w:sz w:val="24"/>
                <w:szCs w:val="24"/>
              </w:rPr>
              <w:t>4.507.090,46</w:t>
            </w:r>
          </w:p>
        </w:tc>
        <w:tc>
          <w:tcPr>
            <w:tcW w:w="0" w:type="auto"/>
          </w:tcPr>
          <w:p w14:paraId="311613C1" w14:textId="32842F22" w:rsidR="00115348" w:rsidRPr="0070339E" w:rsidRDefault="003F0E6E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77BA">
              <w:rPr>
                <w:rFonts w:ascii="Times New Roman" w:hAnsi="Times New Roman"/>
                <w:sz w:val="24"/>
                <w:szCs w:val="24"/>
              </w:rPr>
              <w:t>9,51</w:t>
            </w:r>
          </w:p>
        </w:tc>
      </w:tr>
      <w:tr w:rsidR="00115348" w:rsidRPr="0070339E" w14:paraId="3716C694" w14:textId="77777777" w:rsidTr="003F0E6E">
        <w:trPr>
          <w:trHeight w:val="270"/>
          <w:jc w:val="center"/>
        </w:trPr>
        <w:tc>
          <w:tcPr>
            <w:tcW w:w="0" w:type="auto"/>
          </w:tcPr>
          <w:p w14:paraId="30CF749D" w14:textId="688F7D3C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 xml:space="preserve">Prihod od </w:t>
            </w:r>
            <w:r w:rsidR="00614228">
              <w:rPr>
                <w:rFonts w:ascii="Times New Roman" w:hAnsi="Times New Roman"/>
                <w:sz w:val="24"/>
                <w:szCs w:val="24"/>
              </w:rPr>
              <w:t>Zagrebačke županije</w:t>
            </w:r>
          </w:p>
        </w:tc>
        <w:tc>
          <w:tcPr>
            <w:tcW w:w="0" w:type="auto"/>
            <w:vAlign w:val="bottom"/>
          </w:tcPr>
          <w:p w14:paraId="21B98241" w14:textId="11CD4767" w:rsidR="00115348" w:rsidRPr="0070339E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7BA">
              <w:rPr>
                <w:rFonts w:ascii="Times New Roman" w:hAnsi="Times New Roman"/>
                <w:sz w:val="24"/>
                <w:szCs w:val="24"/>
              </w:rPr>
              <w:t>625.840,34</w:t>
            </w:r>
          </w:p>
        </w:tc>
        <w:tc>
          <w:tcPr>
            <w:tcW w:w="0" w:type="auto"/>
          </w:tcPr>
          <w:p w14:paraId="64C6BB92" w14:textId="6977CD0B" w:rsidR="00115348" w:rsidRPr="0070339E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8,26</w:t>
            </w:r>
          </w:p>
        </w:tc>
      </w:tr>
      <w:tr w:rsidR="00115348" w:rsidRPr="0070339E" w14:paraId="6770BCCA" w14:textId="77777777" w:rsidTr="003F0E6E">
        <w:trPr>
          <w:trHeight w:val="270"/>
          <w:jc w:val="center"/>
        </w:trPr>
        <w:tc>
          <w:tcPr>
            <w:tcW w:w="0" w:type="auto"/>
          </w:tcPr>
          <w:p w14:paraId="7FCCDCE0" w14:textId="52136565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Ostali prihodi (tržište i ostal</w:t>
            </w:r>
            <w:r w:rsidR="003F0E6E">
              <w:rPr>
                <w:rFonts w:ascii="Times New Roman" w:hAnsi="Times New Roman"/>
                <w:sz w:val="24"/>
                <w:szCs w:val="24"/>
              </w:rPr>
              <w:t>i</w:t>
            </w:r>
            <w:r w:rsidRPr="0070339E">
              <w:rPr>
                <w:rFonts w:ascii="Times New Roman" w:hAnsi="Times New Roman"/>
                <w:sz w:val="24"/>
                <w:szCs w:val="24"/>
              </w:rPr>
              <w:t xml:space="preserve"> izvori)</w:t>
            </w:r>
          </w:p>
        </w:tc>
        <w:tc>
          <w:tcPr>
            <w:tcW w:w="0" w:type="auto"/>
            <w:vAlign w:val="bottom"/>
          </w:tcPr>
          <w:p w14:paraId="714277A8" w14:textId="3274D903" w:rsidR="00115348" w:rsidRPr="0070339E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2.255.274,04</w:t>
            </w:r>
          </w:p>
        </w:tc>
        <w:tc>
          <w:tcPr>
            <w:tcW w:w="0" w:type="auto"/>
          </w:tcPr>
          <w:p w14:paraId="1DF552A8" w14:textId="0E1705F8" w:rsidR="00115348" w:rsidRPr="0070339E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29,78</w:t>
            </w:r>
          </w:p>
        </w:tc>
      </w:tr>
      <w:tr w:rsidR="00DD77BA" w:rsidRPr="0070339E" w14:paraId="122F4F40" w14:textId="77777777" w:rsidTr="003F0E6E">
        <w:trPr>
          <w:trHeight w:val="270"/>
          <w:jc w:val="center"/>
        </w:trPr>
        <w:tc>
          <w:tcPr>
            <w:tcW w:w="0" w:type="auto"/>
          </w:tcPr>
          <w:p w14:paraId="35D02F1C" w14:textId="7072EB33" w:rsidR="00DD77BA" w:rsidRPr="0070339E" w:rsidRDefault="00DD77BA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Prihodi od EU projekata</w:t>
            </w:r>
          </w:p>
        </w:tc>
        <w:tc>
          <w:tcPr>
            <w:tcW w:w="0" w:type="auto"/>
            <w:vAlign w:val="bottom"/>
          </w:tcPr>
          <w:p w14:paraId="0EAC247C" w14:textId="6718645D" w:rsidR="00DD77BA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77BA">
              <w:rPr>
                <w:rFonts w:ascii="Times New Roman" w:hAnsi="Times New Roman"/>
                <w:sz w:val="24"/>
                <w:szCs w:val="24"/>
              </w:rPr>
              <w:t>185.317,67</w:t>
            </w:r>
          </w:p>
        </w:tc>
        <w:tc>
          <w:tcPr>
            <w:tcW w:w="0" w:type="auto"/>
          </w:tcPr>
          <w:p w14:paraId="7D005E51" w14:textId="2F6E5E95" w:rsidR="00DD77BA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</w:tr>
      <w:tr w:rsidR="00115348" w:rsidRPr="0070339E" w14:paraId="7A79F6BC" w14:textId="77777777" w:rsidTr="003F0E6E">
        <w:trPr>
          <w:trHeight w:val="270"/>
          <w:jc w:val="center"/>
        </w:trPr>
        <w:tc>
          <w:tcPr>
            <w:tcW w:w="0" w:type="auto"/>
          </w:tcPr>
          <w:p w14:paraId="6B076F57" w14:textId="77777777" w:rsidR="00115348" w:rsidRPr="0070339E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Primici od financijske imovine i zaduženja</w:t>
            </w:r>
          </w:p>
        </w:tc>
        <w:tc>
          <w:tcPr>
            <w:tcW w:w="0" w:type="auto"/>
            <w:vAlign w:val="bottom"/>
          </w:tcPr>
          <w:p w14:paraId="17475445" w14:textId="52B89FCB" w:rsidR="00115348" w:rsidRPr="0070339E" w:rsidRDefault="003F0E6E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67891B1" w14:textId="36602C5A" w:rsidR="00115348" w:rsidRPr="0070339E" w:rsidRDefault="00115348" w:rsidP="00C15D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39E">
              <w:rPr>
                <w:rFonts w:ascii="Times New Roman" w:hAnsi="Times New Roman"/>
                <w:sz w:val="24"/>
                <w:szCs w:val="24"/>
              </w:rPr>
              <w:t>0</w:t>
            </w:r>
            <w:r w:rsidR="00614228">
              <w:rPr>
                <w:rFonts w:ascii="Times New Roman" w:hAnsi="Times New Roman"/>
                <w:sz w:val="24"/>
                <w:szCs w:val="24"/>
              </w:rPr>
              <w:t>,</w:t>
            </w:r>
            <w:r w:rsidR="003F0E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5348" w:rsidRPr="0070339E" w14:paraId="002D63A7" w14:textId="77777777" w:rsidTr="003F0E6E">
        <w:trPr>
          <w:trHeight w:val="270"/>
          <w:jc w:val="center"/>
        </w:trPr>
        <w:tc>
          <w:tcPr>
            <w:tcW w:w="0" w:type="auto"/>
          </w:tcPr>
          <w:p w14:paraId="33FB766B" w14:textId="77777777" w:rsidR="00115348" w:rsidRPr="00DD77BA" w:rsidRDefault="00115348" w:rsidP="00C15D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7BA">
              <w:rPr>
                <w:rFonts w:ascii="Times New Roman" w:hAnsi="Times New Roman"/>
                <w:b/>
                <w:bCs/>
                <w:sz w:val="24"/>
                <w:szCs w:val="24"/>
              </w:rPr>
              <w:t>UKUPNO PRIHODI I PRIMICI:</w:t>
            </w:r>
          </w:p>
        </w:tc>
        <w:tc>
          <w:tcPr>
            <w:tcW w:w="0" w:type="auto"/>
            <w:vAlign w:val="bottom"/>
          </w:tcPr>
          <w:p w14:paraId="50FAC4E8" w14:textId="0C9331F1" w:rsidR="00115348" w:rsidRPr="00DD77BA" w:rsidRDefault="00DD77BA" w:rsidP="00C15D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7BA">
              <w:rPr>
                <w:rFonts w:ascii="Times New Roman" w:hAnsi="Times New Roman"/>
                <w:b/>
                <w:bCs/>
                <w:sz w:val="24"/>
                <w:szCs w:val="24"/>
              </w:rPr>
              <w:t>7.573.522,51</w:t>
            </w:r>
          </w:p>
        </w:tc>
        <w:tc>
          <w:tcPr>
            <w:tcW w:w="0" w:type="auto"/>
          </w:tcPr>
          <w:p w14:paraId="3F60D08C" w14:textId="77777777" w:rsidR="00115348" w:rsidRPr="00DD77BA" w:rsidRDefault="00115348" w:rsidP="00C15D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7BA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</w:tbl>
    <w:p w14:paraId="6854BA82" w14:textId="77777777" w:rsidR="00115348" w:rsidRPr="0070339E" w:rsidRDefault="00115348" w:rsidP="00115348">
      <w:pPr>
        <w:jc w:val="both"/>
        <w:rPr>
          <w:rFonts w:ascii="Times New Roman" w:hAnsi="Times New Roman"/>
          <w:sz w:val="24"/>
          <w:szCs w:val="24"/>
        </w:rPr>
      </w:pPr>
    </w:p>
    <w:p w14:paraId="1583F9F4" w14:textId="0FBFDA82" w:rsidR="00115348" w:rsidRPr="0070339E" w:rsidRDefault="00115348" w:rsidP="00115348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Naplaćeni prihodi od HZZO</w:t>
      </w:r>
      <w:r>
        <w:rPr>
          <w:rFonts w:ascii="Times New Roman" w:hAnsi="Times New Roman"/>
          <w:sz w:val="24"/>
          <w:szCs w:val="24"/>
        </w:rPr>
        <w:t>-a za razdoblje</w:t>
      </w:r>
      <w:r w:rsidRPr="0070339E">
        <w:rPr>
          <w:rFonts w:ascii="Times New Roman" w:hAnsi="Times New Roman"/>
          <w:sz w:val="24"/>
          <w:szCs w:val="24"/>
        </w:rPr>
        <w:t xml:space="preserve"> I.-XII. 202</w:t>
      </w:r>
      <w:r w:rsidR="00DD77BA">
        <w:rPr>
          <w:rFonts w:ascii="Times New Roman" w:hAnsi="Times New Roman"/>
          <w:sz w:val="24"/>
          <w:szCs w:val="24"/>
        </w:rPr>
        <w:t>4</w:t>
      </w:r>
      <w:r w:rsidRPr="0070339E">
        <w:rPr>
          <w:rFonts w:ascii="Times New Roman" w:hAnsi="Times New Roman"/>
          <w:sz w:val="24"/>
          <w:szCs w:val="24"/>
        </w:rPr>
        <w:t xml:space="preserve">. godine ostvareni su u iznosu od </w:t>
      </w:r>
      <w:r w:rsidR="00D92785">
        <w:rPr>
          <w:rFonts w:ascii="Times New Roman" w:hAnsi="Times New Roman"/>
          <w:sz w:val="24"/>
          <w:szCs w:val="24"/>
        </w:rPr>
        <w:t>4.507.090,46</w:t>
      </w:r>
      <w:r w:rsidR="003F0E6E">
        <w:rPr>
          <w:rFonts w:ascii="Times New Roman" w:hAnsi="Times New Roman"/>
          <w:sz w:val="24"/>
          <w:szCs w:val="24"/>
        </w:rPr>
        <w:t xml:space="preserve"> EUR</w:t>
      </w:r>
      <w:r w:rsidRPr="0070339E">
        <w:rPr>
          <w:rFonts w:ascii="Times New Roman" w:hAnsi="Times New Roman"/>
          <w:sz w:val="24"/>
          <w:szCs w:val="24"/>
        </w:rPr>
        <w:t xml:space="preserve"> ili </w:t>
      </w:r>
      <w:r w:rsidR="003F0E6E">
        <w:rPr>
          <w:rFonts w:ascii="Times New Roman" w:hAnsi="Times New Roman"/>
          <w:sz w:val="24"/>
          <w:szCs w:val="24"/>
        </w:rPr>
        <w:t>5</w:t>
      </w:r>
      <w:r w:rsidR="00D92785">
        <w:rPr>
          <w:rFonts w:ascii="Times New Roman" w:hAnsi="Times New Roman"/>
          <w:sz w:val="24"/>
          <w:szCs w:val="24"/>
        </w:rPr>
        <w:t>9</w:t>
      </w:r>
      <w:r w:rsidR="003F0E6E">
        <w:rPr>
          <w:rFonts w:ascii="Times New Roman" w:hAnsi="Times New Roman"/>
          <w:sz w:val="24"/>
          <w:szCs w:val="24"/>
        </w:rPr>
        <w:t>,</w:t>
      </w:r>
      <w:r w:rsidR="00D92785">
        <w:rPr>
          <w:rFonts w:ascii="Times New Roman" w:hAnsi="Times New Roman"/>
          <w:sz w:val="24"/>
          <w:szCs w:val="24"/>
        </w:rPr>
        <w:t>51</w:t>
      </w:r>
      <w:r w:rsidR="00E336FC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>% u strukturi ukupno ostvarenih prihoda.</w:t>
      </w:r>
    </w:p>
    <w:p w14:paraId="6E41C682" w14:textId="77777777" w:rsidR="00D92785" w:rsidRDefault="00115348" w:rsidP="00D92785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Prihodi od HZZO-a za</w:t>
      </w:r>
      <w:r>
        <w:rPr>
          <w:rFonts w:ascii="Times New Roman" w:hAnsi="Times New Roman"/>
          <w:sz w:val="24"/>
          <w:szCs w:val="24"/>
        </w:rPr>
        <w:t xml:space="preserve"> razdoblje</w:t>
      </w:r>
      <w:r w:rsidRPr="0070339E">
        <w:rPr>
          <w:rFonts w:ascii="Times New Roman" w:hAnsi="Times New Roman"/>
          <w:sz w:val="24"/>
          <w:szCs w:val="24"/>
        </w:rPr>
        <w:t xml:space="preserve"> I.-XI</w:t>
      </w:r>
      <w:r w:rsidR="00E336FC">
        <w:rPr>
          <w:rFonts w:ascii="Times New Roman" w:hAnsi="Times New Roman"/>
          <w:sz w:val="24"/>
          <w:szCs w:val="24"/>
        </w:rPr>
        <w:t>I</w:t>
      </w:r>
      <w:r w:rsidRPr="0070339E">
        <w:rPr>
          <w:rFonts w:ascii="Times New Roman" w:hAnsi="Times New Roman"/>
          <w:sz w:val="24"/>
          <w:szCs w:val="24"/>
        </w:rPr>
        <w:t>. 202</w:t>
      </w:r>
      <w:r w:rsidR="00D92785">
        <w:rPr>
          <w:rFonts w:ascii="Times New Roman" w:hAnsi="Times New Roman"/>
          <w:sz w:val="24"/>
          <w:szCs w:val="24"/>
        </w:rPr>
        <w:t>4</w:t>
      </w:r>
      <w:r w:rsidRPr="0070339E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 xml:space="preserve">su za </w:t>
      </w:r>
      <w:r w:rsidR="003F0E6E">
        <w:rPr>
          <w:rFonts w:ascii="Times New Roman" w:hAnsi="Times New Roman"/>
          <w:sz w:val="24"/>
          <w:szCs w:val="24"/>
        </w:rPr>
        <w:t>20,</w:t>
      </w:r>
      <w:r w:rsidR="00D92785">
        <w:rPr>
          <w:rFonts w:ascii="Times New Roman" w:hAnsi="Times New Roman"/>
          <w:sz w:val="24"/>
          <w:szCs w:val="24"/>
        </w:rPr>
        <w:t>96</w:t>
      </w:r>
      <w:r w:rsidR="00E336FC">
        <w:rPr>
          <w:rFonts w:ascii="Times New Roman" w:hAnsi="Times New Roman"/>
          <w:sz w:val="24"/>
          <w:szCs w:val="24"/>
        </w:rPr>
        <w:t xml:space="preserve"> </w:t>
      </w:r>
      <w:r w:rsidRPr="0070339E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veći</w:t>
      </w:r>
      <w:r w:rsidRPr="0070339E">
        <w:rPr>
          <w:rFonts w:ascii="Times New Roman" w:hAnsi="Times New Roman"/>
          <w:sz w:val="24"/>
          <w:szCs w:val="24"/>
        </w:rPr>
        <w:t xml:space="preserve"> nego za razdoblje I.-XII. 20</w:t>
      </w:r>
      <w:r>
        <w:rPr>
          <w:rFonts w:ascii="Times New Roman" w:hAnsi="Times New Roman"/>
          <w:sz w:val="24"/>
          <w:szCs w:val="24"/>
        </w:rPr>
        <w:t>2</w:t>
      </w:r>
      <w:r w:rsidR="00D92785">
        <w:rPr>
          <w:rFonts w:ascii="Times New Roman" w:hAnsi="Times New Roman"/>
          <w:sz w:val="24"/>
          <w:szCs w:val="24"/>
        </w:rPr>
        <w:t>3</w:t>
      </w:r>
      <w:r w:rsidRPr="0070339E">
        <w:rPr>
          <w:rFonts w:ascii="Times New Roman" w:hAnsi="Times New Roman"/>
          <w:sz w:val="24"/>
          <w:szCs w:val="24"/>
        </w:rPr>
        <w:t>. godine</w:t>
      </w:r>
      <w:r w:rsidR="00D92785">
        <w:rPr>
          <w:rFonts w:ascii="Times New Roman" w:hAnsi="Times New Roman"/>
          <w:sz w:val="24"/>
          <w:szCs w:val="24"/>
        </w:rPr>
        <w:t xml:space="preserve">. </w:t>
      </w:r>
      <w:r w:rsidR="00D92785" w:rsidRPr="00DC0455">
        <w:rPr>
          <w:rFonts w:ascii="Times New Roman" w:hAnsi="Times New Roman"/>
          <w:sz w:val="24"/>
          <w:szCs w:val="24"/>
        </w:rPr>
        <w:t xml:space="preserve">Glavni razlog takvog povećanja </w:t>
      </w:r>
      <w:r w:rsidR="00D92785">
        <w:rPr>
          <w:rFonts w:ascii="Times New Roman" w:hAnsi="Times New Roman"/>
          <w:sz w:val="24"/>
          <w:szCs w:val="24"/>
        </w:rPr>
        <w:t xml:space="preserve">je povećanje vrijednosti Ugovora o provođenju bolničke i specijalističko-konzilijarne zdravstvene zaštite. </w:t>
      </w:r>
    </w:p>
    <w:p w14:paraId="0137650B" w14:textId="7A6D1C9E" w:rsidR="00115348" w:rsidRDefault="00D92785" w:rsidP="00D92785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razdoblju od siječnja do ožujka mjesečni limiti iznosili su 238.267,00 EUR , u travnju 266.859,04 EUR, u periodu od svibnja do lipnja 282.870,58 EU, dok su od srpnja do prosinca iznosili </w:t>
      </w:r>
      <w:r w:rsidRPr="00A83C5A">
        <w:rPr>
          <w:rFonts w:ascii="Times New Roman" w:hAnsi="Times New Roman"/>
          <w:sz w:val="24"/>
          <w:szCs w:val="24"/>
        </w:rPr>
        <w:t>338.716</w:t>
      </w:r>
      <w:r>
        <w:rPr>
          <w:rFonts w:ascii="Times New Roman" w:hAnsi="Times New Roman"/>
          <w:sz w:val="24"/>
          <w:szCs w:val="24"/>
        </w:rPr>
        <w:t>,00</w:t>
      </w:r>
      <w:r w:rsidRPr="00A83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A83C5A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.</w:t>
      </w:r>
    </w:p>
    <w:p w14:paraId="7A3C7D89" w14:textId="77777777" w:rsidR="00D92785" w:rsidRPr="0070339E" w:rsidRDefault="00D92785" w:rsidP="00D92785">
      <w:pPr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452C097F" w14:textId="147F0C84" w:rsidR="00115348" w:rsidRDefault="00115348" w:rsidP="00115348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 xml:space="preserve">Prihodi od </w:t>
      </w:r>
      <w:r>
        <w:rPr>
          <w:rFonts w:ascii="Times New Roman" w:hAnsi="Times New Roman"/>
          <w:sz w:val="24"/>
          <w:szCs w:val="24"/>
        </w:rPr>
        <w:t>Zagrebačke ž</w:t>
      </w:r>
      <w:r w:rsidRPr="0070339E">
        <w:rPr>
          <w:rFonts w:ascii="Times New Roman" w:hAnsi="Times New Roman"/>
          <w:sz w:val="24"/>
          <w:szCs w:val="24"/>
        </w:rPr>
        <w:t xml:space="preserve">upanije iznose </w:t>
      </w:r>
      <w:r w:rsidR="00D92785">
        <w:rPr>
          <w:rFonts w:ascii="Times New Roman" w:hAnsi="Times New Roman"/>
          <w:sz w:val="24"/>
          <w:szCs w:val="24"/>
        </w:rPr>
        <w:t>625.840,34</w:t>
      </w:r>
      <w:r w:rsidR="00315FBF">
        <w:rPr>
          <w:rFonts w:ascii="Times New Roman" w:hAnsi="Times New Roman"/>
          <w:sz w:val="24"/>
          <w:szCs w:val="24"/>
        </w:rPr>
        <w:t xml:space="preserve"> EUR</w:t>
      </w:r>
      <w:r w:rsidRPr="0070339E">
        <w:rPr>
          <w:rFonts w:ascii="Times New Roman" w:hAnsi="Times New Roman"/>
          <w:sz w:val="24"/>
          <w:szCs w:val="24"/>
        </w:rPr>
        <w:t xml:space="preserve"> i sastoje se od:</w:t>
      </w:r>
    </w:p>
    <w:tbl>
      <w:tblPr>
        <w:tblStyle w:val="Reetkatablice"/>
        <w:tblW w:w="5000" w:type="pct"/>
        <w:tblInd w:w="-5" w:type="dxa"/>
        <w:tblLook w:val="04A0" w:firstRow="1" w:lastRow="0" w:firstColumn="1" w:lastColumn="0" w:noHBand="0" w:noVBand="1"/>
      </w:tblPr>
      <w:tblGrid>
        <w:gridCol w:w="6749"/>
        <w:gridCol w:w="2313"/>
      </w:tblGrid>
      <w:tr w:rsidR="00115348" w14:paraId="3CCAB18B" w14:textId="77777777" w:rsidTr="00C8114E">
        <w:trPr>
          <w:trHeight w:val="177"/>
        </w:trPr>
        <w:tc>
          <w:tcPr>
            <w:tcW w:w="3724" w:type="pct"/>
          </w:tcPr>
          <w:p w14:paraId="45753750" w14:textId="77777777" w:rsidR="00115348" w:rsidRPr="00C8114E" w:rsidRDefault="00115348" w:rsidP="00C15D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pct"/>
          </w:tcPr>
          <w:p w14:paraId="3CD7C5C3" w14:textId="29EAC8F1" w:rsidR="00115348" w:rsidRPr="00C8114E" w:rsidRDefault="00115348" w:rsidP="00315F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114E">
              <w:rPr>
                <w:rFonts w:ascii="Times New Roman" w:hAnsi="Times New Roman"/>
                <w:b/>
                <w:bCs/>
              </w:rPr>
              <w:t xml:space="preserve">Iznos u </w:t>
            </w:r>
            <w:r w:rsidR="00315FBF" w:rsidRPr="00C8114E">
              <w:rPr>
                <w:rFonts w:ascii="Times New Roman" w:hAnsi="Times New Roman"/>
                <w:b/>
                <w:bCs/>
              </w:rPr>
              <w:t>EUR</w:t>
            </w:r>
          </w:p>
        </w:tc>
      </w:tr>
      <w:tr w:rsidR="00115348" w14:paraId="63FF40CF" w14:textId="77777777" w:rsidTr="00C8114E">
        <w:trPr>
          <w:trHeight w:val="170"/>
        </w:trPr>
        <w:tc>
          <w:tcPr>
            <w:tcW w:w="3724" w:type="pct"/>
            <w:vMerge w:val="restart"/>
          </w:tcPr>
          <w:p w14:paraId="4709E3F5" w14:textId="77777777" w:rsidR="00115348" w:rsidRPr="00C8114E" w:rsidRDefault="00115348" w:rsidP="00C15D45">
            <w:pPr>
              <w:jc w:val="both"/>
              <w:rPr>
                <w:rFonts w:ascii="Times New Roman" w:hAnsi="Times New Roman"/>
              </w:rPr>
            </w:pPr>
            <w:r w:rsidRPr="00C8114E">
              <w:rPr>
                <w:rFonts w:ascii="Times New Roman" w:hAnsi="Times New Roman"/>
              </w:rPr>
              <w:t>Decentralizirana sredstva:</w:t>
            </w:r>
          </w:p>
          <w:p w14:paraId="617B0C43" w14:textId="77777777" w:rsidR="00115348" w:rsidRPr="00C8114E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8114E">
              <w:rPr>
                <w:rFonts w:ascii="Times New Roman" w:hAnsi="Times New Roman"/>
              </w:rPr>
              <w:t>Usluge tekućeg i investicijskog održavanja</w:t>
            </w:r>
          </w:p>
          <w:p w14:paraId="057CD86E" w14:textId="77777777" w:rsidR="00D92785" w:rsidRDefault="00D92785" w:rsidP="00D92785">
            <w:pPr>
              <w:pStyle w:val="Odlomakpopisa"/>
              <w:spacing w:after="0"/>
              <w:ind w:left="420"/>
              <w:jc w:val="both"/>
              <w:rPr>
                <w:rFonts w:ascii="Times New Roman" w:hAnsi="Times New Roman"/>
              </w:rPr>
            </w:pPr>
          </w:p>
          <w:p w14:paraId="48925383" w14:textId="4C8AD792" w:rsidR="00115348" w:rsidRPr="00C8114E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8114E">
              <w:rPr>
                <w:rFonts w:ascii="Times New Roman" w:hAnsi="Times New Roman"/>
              </w:rPr>
              <w:t>Nabava nefinancijske imovine</w:t>
            </w:r>
          </w:p>
          <w:p w14:paraId="6866D874" w14:textId="77777777" w:rsidR="00D92785" w:rsidRDefault="00D92785" w:rsidP="00D92785">
            <w:pPr>
              <w:pStyle w:val="Odlomakpopisa"/>
              <w:spacing w:after="0"/>
              <w:ind w:left="420"/>
              <w:jc w:val="both"/>
              <w:rPr>
                <w:rFonts w:ascii="Times New Roman" w:hAnsi="Times New Roman"/>
              </w:rPr>
            </w:pPr>
          </w:p>
          <w:p w14:paraId="309A9505" w14:textId="1E98D66D" w:rsidR="00115348" w:rsidRPr="00C8114E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8114E">
              <w:rPr>
                <w:rFonts w:ascii="Times New Roman" w:hAnsi="Times New Roman"/>
              </w:rPr>
              <w:t>Otplate kredita</w:t>
            </w:r>
          </w:p>
        </w:tc>
        <w:tc>
          <w:tcPr>
            <w:tcW w:w="1276" w:type="pct"/>
            <w:vAlign w:val="center"/>
          </w:tcPr>
          <w:p w14:paraId="35539EC8" w14:textId="77777777" w:rsidR="00115348" w:rsidRPr="00C8114E" w:rsidRDefault="00115348" w:rsidP="00C15D4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5348" w14:paraId="21105497" w14:textId="77777777" w:rsidTr="00C8114E">
        <w:trPr>
          <w:trHeight w:val="292"/>
        </w:trPr>
        <w:tc>
          <w:tcPr>
            <w:tcW w:w="3724" w:type="pct"/>
            <w:vMerge/>
          </w:tcPr>
          <w:p w14:paraId="52664374" w14:textId="77777777" w:rsidR="00115348" w:rsidRPr="00C8114E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pct"/>
            <w:vAlign w:val="center"/>
          </w:tcPr>
          <w:p w14:paraId="38369574" w14:textId="19D28C52" w:rsidR="00115348" w:rsidRPr="00C8114E" w:rsidRDefault="00D92785" w:rsidP="00C15D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146.911,33</w:t>
            </w:r>
          </w:p>
        </w:tc>
      </w:tr>
      <w:tr w:rsidR="00115348" w14:paraId="39A10DCB" w14:textId="77777777" w:rsidTr="00C8114E">
        <w:trPr>
          <w:trHeight w:val="300"/>
        </w:trPr>
        <w:tc>
          <w:tcPr>
            <w:tcW w:w="3724" w:type="pct"/>
            <w:vMerge/>
          </w:tcPr>
          <w:p w14:paraId="0A89E958" w14:textId="77777777" w:rsidR="00115348" w:rsidRPr="00C8114E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pct"/>
            <w:vAlign w:val="center"/>
          </w:tcPr>
          <w:p w14:paraId="67C98931" w14:textId="3B8B4E5E" w:rsidR="00115348" w:rsidRPr="00C8114E" w:rsidRDefault="00D92785" w:rsidP="00C15D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161.179,70</w:t>
            </w:r>
          </w:p>
        </w:tc>
      </w:tr>
      <w:tr w:rsidR="00115348" w14:paraId="2B4AFB9C" w14:textId="77777777" w:rsidTr="00C8114E">
        <w:trPr>
          <w:trHeight w:val="283"/>
        </w:trPr>
        <w:tc>
          <w:tcPr>
            <w:tcW w:w="3724" w:type="pct"/>
            <w:vMerge/>
          </w:tcPr>
          <w:p w14:paraId="729AFB49" w14:textId="77777777" w:rsidR="00115348" w:rsidRPr="00C8114E" w:rsidRDefault="00115348" w:rsidP="00C15D45">
            <w:pPr>
              <w:pStyle w:val="Odlomakpopisa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pct"/>
            <w:vAlign w:val="center"/>
          </w:tcPr>
          <w:p w14:paraId="3EA717DB" w14:textId="1DFB50D6" w:rsidR="00115348" w:rsidRPr="00C8114E" w:rsidRDefault="003F296C" w:rsidP="00C15D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114E">
              <w:rPr>
                <w:rFonts w:ascii="Times New Roman" w:hAnsi="Times New Roman"/>
              </w:rPr>
              <w:t>265.445,00</w:t>
            </w:r>
          </w:p>
        </w:tc>
      </w:tr>
      <w:tr w:rsidR="00115348" w14:paraId="7EC8EE77" w14:textId="77777777" w:rsidTr="00C8114E">
        <w:trPr>
          <w:trHeight w:val="284"/>
        </w:trPr>
        <w:tc>
          <w:tcPr>
            <w:tcW w:w="3724" w:type="pct"/>
          </w:tcPr>
          <w:p w14:paraId="76A35B59" w14:textId="77777777" w:rsidR="00115348" w:rsidRPr="00C8114E" w:rsidRDefault="00115348" w:rsidP="00C15D45">
            <w:pPr>
              <w:jc w:val="both"/>
              <w:rPr>
                <w:rFonts w:ascii="Times New Roman" w:hAnsi="Times New Roman"/>
              </w:rPr>
            </w:pPr>
            <w:r w:rsidRPr="00C8114E">
              <w:rPr>
                <w:rFonts w:ascii="Times New Roman" w:hAnsi="Times New Roman"/>
              </w:rPr>
              <w:t>Prevencija melanoma kože</w:t>
            </w:r>
          </w:p>
        </w:tc>
        <w:tc>
          <w:tcPr>
            <w:tcW w:w="1276" w:type="pct"/>
            <w:vAlign w:val="center"/>
          </w:tcPr>
          <w:p w14:paraId="73F450B4" w14:textId="13E3FB9F" w:rsidR="00115348" w:rsidRPr="00C8114E" w:rsidRDefault="00D92785" w:rsidP="00C15D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8.193,35</w:t>
            </w:r>
          </w:p>
        </w:tc>
      </w:tr>
      <w:tr w:rsidR="00115348" w14:paraId="367A948C" w14:textId="77777777" w:rsidTr="00C8114E">
        <w:trPr>
          <w:trHeight w:val="266"/>
        </w:trPr>
        <w:tc>
          <w:tcPr>
            <w:tcW w:w="3724" w:type="pct"/>
          </w:tcPr>
          <w:p w14:paraId="56765A41" w14:textId="519A05FB" w:rsidR="00115348" w:rsidRPr="00C8114E" w:rsidRDefault="00D92785" w:rsidP="00C15D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WELLTUR Naftalan</w:t>
            </w:r>
          </w:p>
        </w:tc>
        <w:tc>
          <w:tcPr>
            <w:tcW w:w="1276" w:type="pct"/>
            <w:vAlign w:val="center"/>
          </w:tcPr>
          <w:p w14:paraId="15714BEE" w14:textId="096135EB" w:rsidR="00115348" w:rsidRPr="00C8114E" w:rsidRDefault="00D92785" w:rsidP="00C15D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17.566,96</w:t>
            </w:r>
          </w:p>
        </w:tc>
      </w:tr>
      <w:tr w:rsidR="00D92785" w14:paraId="3EACDEB1" w14:textId="77777777" w:rsidTr="00C8114E">
        <w:trPr>
          <w:trHeight w:val="266"/>
        </w:trPr>
        <w:tc>
          <w:tcPr>
            <w:tcW w:w="3724" w:type="pct"/>
          </w:tcPr>
          <w:p w14:paraId="11C7E80D" w14:textId="5D4CF8C3" w:rsidR="00D92785" w:rsidRDefault="00D92785" w:rsidP="00C15D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Financijska pomoć za opremanje vanjskog bazena</w:t>
            </w:r>
          </w:p>
        </w:tc>
        <w:tc>
          <w:tcPr>
            <w:tcW w:w="1276" w:type="pct"/>
            <w:vAlign w:val="center"/>
          </w:tcPr>
          <w:p w14:paraId="3D1DE37C" w14:textId="62D849EC" w:rsidR="00D92785" w:rsidRDefault="00D92785" w:rsidP="00C15D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26.544,00</w:t>
            </w:r>
          </w:p>
        </w:tc>
      </w:tr>
    </w:tbl>
    <w:p w14:paraId="48FB992D" w14:textId="77777777" w:rsidR="00C8114E" w:rsidRDefault="00C8114E" w:rsidP="00C8114E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419F1121" w14:textId="5575E2A5" w:rsidR="00FC0ED3" w:rsidRDefault="00FC0ED3" w:rsidP="00C8114E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U 202</w:t>
      </w:r>
      <w:r w:rsidR="00396BEA">
        <w:rPr>
          <w:rFonts w:ascii="Times New Roman" w:hAnsi="Times New Roman"/>
          <w:sz w:val="24"/>
          <w:szCs w:val="24"/>
          <w:lang w:eastAsia="x-none"/>
        </w:rPr>
        <w:t>4</w:t>
      </w:r>
      <w:r>
        <w:rPr>
          <w:rFonts w:ascii="Times New Roman" w:hAnsi="Times New Roman"/>
          <w:sz w:val="24"/>
          <w:szCs w:val="24"/>
          <w:lang w:eastAsia="x-none"/>
        </w:rPr>
        <w:t xml:space="preserve">. godini, prihodi od proračuna iznosili su </w:t>
      </w:r>
      <w:r w:rsidR="00396BEA">
        <w:rPr>
          <w:rFonts w:ascii="Times New Roman" w:hAnsi="Times New Roman"/>
          <w:sz w:val="24"/>
          <w:szCs w:val="24"/>
          <w:lang w:eastAsia="x-none"/>
        </w:rPr>
        <w:t>625.840,34</w:t>
      </w:r>
      <w:r w:rsidR="003F296C">
        <w:rPr>
          <w:rFonts w:ascii="Times New Roman" w:hAnsi="Times New Roman"/>
          <w:sz w:val="24"/>
          <w:szCs w:val="24"/>
          <w:lang w:eastAsia="x-none"/>
        </w:rPr>
        <w:t xml:space="preserve"> EUR</w:t>
      </w:r>
      <w:r>
        <w:rPr>
          <w:rFonts w:ascii="Times New Roman" w:hAnsi="Times New Roman"/>
          <w:sz w:val="24"/>
          <w:szCs w:val="24"/>
          <w:lang w:eastAsia="x-none"/>
        </w:rPr>
        <w:t xml:space="preserve">, od kojih </w:t>
      </w:r>
      <w:r w:rsidR="00396BEA">
        <w:rPr>
          <w:rFonts w:ascii="Times New Roman" w:hAnsi="Times New Roman"/>
          <w:sz w:val="24"/>
          <w:szCs w:val="24"/>
        </w:rPr>
        <w:t>573.536,03</w:t>
      </w:r>
      <w:r w:rsidR="003F296C">
        <w:rPr>
          <w:rFonts w:ascii="Times New Roman" w:hAnsi="Times New Roman"/>
          <w:sz w:val="24"/>
          <w:szCs w:val="24"/>
          <w:lang w:eastAsia="x-none"/>
        </w:rPr>
        <w:t xml:space="preserve"> EUR </w:t>
      </w:r>
      <w:r>
        <w:rPr>
          <w:rFonts w:ascii="Times New Roman" w:hAnsi="Times New Roman"/>
          <w:sz w:val="24"/>
          <w:szCs w:val="24"/>
          <w:lang w:eastAsia="x-none"/>
        </w:rPr>
        <w:t xml:space="preserve">sredstva za decentralizirane funkcije,  </w:t>
      </w:r>
      <w:r w:rsidR="00396BEA">
        <w:rPr>
          <w:rFonts w:ascii="Times New Roman" w:hAnsi="Times New Roman"/>
          <w:sz w:val="24"/>
          <w:szCs w:val="24"/>
          <w:lang w:eastAsia="x-none"/>
        </w:rPr>
        <w:t xml:space="preserve">8.193,35 </w:t>
      </w:r>
      <w:r w:rsidR="003F296C">
        <w:rPr>
          <w:rFonts w:ascii="Times New Roman" w:hAnsi="Times New Roman"/>
          <w:sz w:val="24"/>
          <w:szCs w:val="24"/>
          <w:lang w:eastAsia="x-none"/>
        </w:rPr>
        <w:t>EUR</w:t>
      </w:r>
      <w:r>
        <w:rPr>
          <w:rFonts w:ascii="Times New Roman" w:hAnsi="Times New Roman"/>
          <w:sz w:val="24"/>
          <w:szCs w:val="24"/>
          <w:lang w:eastAsia="x-none"/>
        </w:rPr>
        <w:t xml:space="preserve"> financijska sredstva za program Prevencija melanoma kože</w:t>
      </w:r>
      <w:r w:rsidR="00396BEA">
        <w:rPr>
          <w:rFonts w:ascii="Times New Roman" w:hAnsi="Times New Roman"/>
          <w:sz w:val="24"/>
          <w:szCs w:val="24"/>
          <w:lang w:eastAsia="x-none"/>
        </w:rPr>
        <w:t xml:space="preserve"> i financijska pomoć za opremanje vanjskog bazena 26.544,00 EUR. </w:t>
      </w:r>
    </w:p>
    <w:p w14:paraId="4D9825F8" w14:textId="6A0F206F" w:rsidR="00396BEA" w:rsidRDefault="00396BEA" w:rsidP="00396BEA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zaprimljena iz županijskog proračuna za WELLTUR NAFTALAN u iznosu od 17.566,96 EUR odnose se na sufinanciranjem projekta ˝Unaprjeđenje smještajnih kapaciteta i infrastrukture Specijalne bolnice Naftalan u funkciji razvoja zdravstvenog turizma˝ </w:t>
      </w:r>
      <w:r w:rsidRPr="003A318B">
        <w:rPr>
          <w:rFonts w:ascii="Times New Roman" w:hAnsi="Times New Roman"/>
          <w:sz w:val="24"/>
          <w:szCs w:val="24"/>
        </w:rPr>
        <w:t>temeljem Ugovora o dodjeli bespovratnih sredstava za projekte koji se financiraju iz mehanizma za oporavak i otpornost</w:t>
      </w:r>
      <w:r>
        <w:rPr>
          <w:rFonts w:ascii="Times New Roman" w:hAnsi="Times New Roman"/>
          <w:sz w:val="24"/>
          <w:szCs w:val="24"/>
        </w:rPr>
        <w:t xml:space="preserve">. Sufinancira se dio troškova koji nisu pokriveni bespovratnim sredstvima te neprihvatljivi troškovi projekta. </w:t>
      </w:r>
    </w:p>
    <w:p w14:paraId="0E6107AB" w14:textId="77777777" w:rsidR="00FC0ED3" w:rsidRPr="00FC0A66" w:rsidRDefault="00FC0ED3" w:rsidP="00FC0ED3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4C4E55AE" w14:textId="0290CE23" w:rsidR="00FC0ED3" w:rsidRDefault="00FC0ED3" w:rsidP="00FC0ED3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od ostalih korisnika, odnosno vlastiti prihodi sa tržišta, u 202</w:t>
      </w:r>
      <w:r w:rsidR="00396BE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godini iznosili su </w:t>
      </w:r>
      <w:r w:rsidR="00396BEA" w:rsidRPr="00396BEA">
        <w:rPr>
          <w:rFonts w:ascii="Times New Roman" w:hAnsi="Times New Roman"/>
          <w:sz w:val="24"/>
          <w:szCs w:val="24"/>
        </w:rPr>
        <w:t>1.965.392,66</w:t>
      </w:r>
      <w:r w:rsidR="00396BEA">
        <w:rPr>
          <w:rFonts w:ascii="Times New Roman" w:hAnsi="Times New Roman"/>
          <w:sz w:val="24"/>
          <w:szCs w:val="24"/>
        </w:rPr>
        <w:t xml:space="preserve"> </w:t>
      </w:r>
      <w:r w:rsidR="003F296C">
        <w:rPr>
          <w:rFonts w:ascii="Times New Roman" w:hAnsi="Times New Roman"/>
          <w:sz w:val="24"/>
          <w:szCs w:val="24"/>
        </w:rPr>
        <w:t xml:space="preserve">EUR </w:t>
      </w:r>
      <w:r>
        <w:rPr>
          <w:rFonts w:ascii="Times New Roman" w:hAnsi="Times New Roman"/>
          <w:sz w:val="24"/>
          <w:szCs w:val="24"/>
        </w:rPr>
        <w:t xml:space="preserve">što je za </w:t>
      </w:r>
      <w:r w:rsidR="00396BEA">
        <w:rPr>
          <w:rFonts w:ascii="Times New Roman" w:hAnsi="Times New Roman"/>
          <w:sz w:val="24"/>
          <w:szCs w:val="24"/>
        </w:rPr>
        <w:t>523.709,63</w:t>
      </w:r>
      <w:r w:rsidR="003F296C">
        <w:rPr>
          <w:rFonts w:ascii="Times New Roman" w:hAnsi="Times New Roman"/>
          <w:sz w:val="24"/>
          <w:szCs w:val="24"/>
        </w:rPr>
        <w:t xml:space="preserve"> EUR </w:t>
      </w:r>
      <w:r>
        <w:rPr>
          <w:rFonts w:ascii="Times New Roman" w:hAnsi="Times New Roman"/>
          <w:sz w:val="24"/>
          <w:szCs w:val="24"/>
        </w:rPr>
        <w:t>više nego u istom razdoblju 202</w:t>
      </w:r>
      <w:r w:rsidR="00396BE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godine. Kroz 202</w:t>
      </w:r>
      <w:r w:rsidR="00396BE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godinu u objektu Naftalan 2 povećao se broj novih sadržaja i usluga, pa su proporcionalno tome rasli i prihodi. </w:t>
      </w:r>
    </w:p>
    <w:p w14:paraId="2A1FFFCA" w14:textId="390BC945" w:rsidR="00E336FC" w:rsidRPr="00826DDA" w:rsidRDefault="00FC0ED3" w:rsidP="00826DDA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izvanredni prihodi </w:t>
      </w:r>
      <w:r w:rsidR="00396BEA">
        <w:rPr>
          <w:rFonts w:ascii="Times New Roman" w:hAnsi="Times New Roman"/>
          <w:sz w:val="24"/>
          <w:szCs w:val="24"/>
        </w:rPr>
        <w:t>smanjeni</w:t>
      </w:r>
      <w:r>
        <w:rPr>
          <w:rFonts w:ascii="Times New Roman" w:hAnsi="Times New Roman"/>
          <w:sz w:val="24"/>
          <w:szCs w:val="24"/>
        </w:rPr>
        <w:t xml:space="preserve"> su u 202</w:t>
      </w:r>
      <w:r w:rsidR="00396BE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godini u usporedbi sa 202</w:t>
      </w:r>
      <w:r w:rsidR="00396BE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godinom, jer su tu </w:t>
      </w:r>
      <w:r w:rsidR="00396BEA">
        <w:rPr>
          <w:rFonts w:ascii="Times New Roman" w:hAnsi="Times New Roman"/>
          <w:sz w:val="24"/>
          <w:szCs w:val="24"/>
        </w:rPr>
        <w:t xml:space="preserve">u 2023. godini </w:t>
      </w:r>
      <w:r>
        <w:rPr>
          <w:rFonts w:ascii="Times New Roman" w:hAnsi="Times New Roman"/>
          <w:sz w:val="24"/>
          <w:szCs w:val="24"/>
        </w:rPr>
        <w:t>evidentiran</w:t>
      </w:r>
      <w:r w:rsidR="00A76E46">
        <w:rPr>
          <w:rFonts w:ascii="Times New Roman" w:hAnsi="Times New Roman"/>
          <w:sz w:val="24"/>
          <w:szCs w:val="24"/>
        </w:rPr>
        <w:t xml:space="preserve">e </w:t>
      </w:r>
      <w:r w:rsidR="00A76E46" w:rsidRPr="00A76E46">
        <w:rPr>
          <w:rFonts w:ascii="Times New Roman" w:hAnsi="Times New Roman"/>
          <w:sz w:val="24"/>
          <w:szCs w:val="24"/>
        </w:rPr>
        <w:t xml:space="preserve">namjenske pomoći zdravstvenim ustanovama za pokriće troškova po isplaćenim pravomoćnim sudskim presudama koje se odnose na sporove za isplatu razlike plaće zbog </w:t>
      </w:r>
      <w:proofErr w:type="spellStart"/>
      <w:r w:rsidR="00A76E46" w:rsidRPr="00A76E46">
        <w:rPr>
          <w:rFonts w:ascii="Times New Roman" w:hAnsi="Times New Roman"/>
          <w:sz w:val="24"/>
          <w:szCs w:val="24"/>
        </w:rPr>
        <w:t>neuvećanja</w:t>
      </w:r>
      <w:proofErr w:type="spellEnd"/>
      <w:r w:rsidR="00A76E46" w:rsidRPr="00A76E46">
        <w:rPr>
          <w:rFonts w:ascii="Times New Roman" w:hAnsi="Times New Roman"/>
          <w:sz w:val="24"/>
          <w:szCs w:val="24"/>
        </w:rPr>
        <w:t xml:space="preserve"> osnovice za 6%</w:t>
      </w:r>
      <w:r w:rsidR="00A76E46">
        <w:rPr>
          <w:rFonts w:ascii="Times New Roman" w:hAnsi="Times New Roman"/>
          <w:sz w:val="24"/>
          <w:szCs w:val="24"/>
        </w:rPr>
        <w:t xml:space="preserve"> i za prekovremeni rad. </w:t>
      </w:r>
    </w:p>
    <w:p w14:paraId="39D6E876" w14:textId="315AD03B" w:rsidR="00E336FC" w:rsidRPr="00A374E4" w:rsidRDefault="00E336FC" w:rsidP="00A374E4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07011">
        <w:rPr>
          <w:rFonts w:ascii="Times New Roman" w:hAnsi="Times New Roman"/>
          <w:b/>
          <w:bCs/>
          <w:sz w:val="24"/>
          <w:szCs w:val="24"/>
        </w:rPr>
        <w:t>U razdoblju od 01.01.202</w:t>
      </w:r>
      <w:r w:rsidR="00396BEA">
        <w:rPr>
          <w:rFonts w:ascii="Times New Roman" w:hAnsi="Times New Roman"/>
          <w:b/>
          <w:bCs/>
          <w:sz w:val="24"/>
          <w:szCs w:val="24"/>
        </w:rPr>
        <w:t>4</w:t>
      </w:r>
      <w:r w:rsidRPr="00D07011">
        <w:rPr>
          <w:rFonts w:ascii="Times New Roman" w:hAnsi="Times New Roman"/>
          <w:b/>
          <w:bCs/>
          <w:sz w:val="24"/>
          <w:szCs w:val="24"/>
        </w:rPr>
        <w:t>. do 31.12.202</w:t>
      </w:r>
      <w:r w:rsidR="00396BEA">
        <w:rPr>
          <w:rFonts w:ascii="Times New Roman" w:hAnsi="Times New Roman"/>
          <w:b/>
          <w:bCs/>
          <w:sz w:val="24"/>
          <w:szCs w:val="24"/>
        </w:rPr>
        <w:t>4</w:t>
      </w:r>
      <w:r w:rsidRPr="00D07011">
        <w:rPr>
          <w:rFonts w:ascii="Times New Roman" w:hAnsi="Times New Roman"/>
          <w:b/>
          <w:bCs/>
          <w:sz w:val="24"/>
          <w:szCs w:val="24"/>
        </w:rPr>
        <w:t>. ostvareni su rashodi u iznosu od</w:t>
      </w:r>
      <w:r w:rsidR="00A76E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6BEA" w:rsidRPr="00396BEA">
        <w:rPr>
          <w:rFonts w:ascii="Times New Roman" w:hAnsi="Times New Roman"/>
          <w:b/>
          <w:bCs/>
          <w:sz w:val="24"/>
          <w:szCs w:val="24"/>
        </w:rPr>
        <w:t>7.615.958,46</w:t>
      </w:r>
      <w:r w:rsidR="00A76E46"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Pr="00D07011">
        <w:rPr>
          <w:rFonts w:ascii="Times New Roman" w:hAnsi="Times New Roman"/>
          <w:b/>
          <w:bCs/>
          <w:sz w:val="24"/>
          <w:szCs w:val="24"/>
        </w:rPr>
        <w:t xml:space="preserve">, što je za </w:t>
      </w:r>
      <w:r w:rsidR="00396BEA">
        <w:rPr>
          <w:rFonts w:ascii="Times New Roman" w:hAnsi="Times New Roman"/>
          <w:b/>
          <w:bCs/>
          <w:sz w:val="24"/>
          <w:szCs w:val="24"/>
        </w:rPr>
        <w:t>17,5</w:t>
      </w:r>
      <w:r w:rsidRPr="00D07011">
        <w:rPr>
          <w:rFonts w:ascii="Times New Roman" w:hAnsi="Times New Roman"/>
          <w:b/>
          <w:bCs/>
          <w:sz w:val="24"/>
          <w:szCs w:val="24"/>
        </w:rPr>
        <w:t xml:space="preserve"> % više nego u istom razdoblju 202</w:t>
      </w:r>
      <w:r w:rsidR="00396BEA">
        <w:rPr>
          <w:rFonts w:ascii="Times New Roman" w:hAnsi="Times New Roman"/>
          <w:b/>
          <w:bCs/>
          <w:sz w:val="24"/>
          <w:szCs w:val="24"/>
        </w:rPr>
        <w:t>3</w:t>
      </w:r>
      <w:r w:rsidRPr="00D07011">
        <w:rPr>
          <w:rFonts w:ascii="Times New Roman" w:hAnsi="Times New Roman"/>
          <w:b/>
          <w:bCs/>
          <w:sz w:val="24"/>
          <w:szCs w:val="24"/>
        </w:rPr>
        <w:t>. godine.</w:t>
      </w:r>
    </w:p>
    <w:p w14:paraId="4585001D" w14:textId="4B055738" w:rsidR="00FC0ED3" w:rsidRPr="00AC7C01" w:rsidRDefault="00FC0ED3" w:rsidP="00AA68DA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 w:rsidRPr="00AC7C01">
        <w:rPr>
          <w:rFonts w:ascii="Times New Roman" w:hAnsi="Times New Roman"/>
          <w:sz w:val="24"/>
          <w:szCs w:val="24"/>
        </w:rPr>
        <w:t>U 20</w:t>
      </w:r>
      <w:r>
        <w:rPr>
          <w:rFonts w:ascii="Times New Roman" w:hAnsi="Times New Roman"/>
          <w:sz w:val="24"/>
          <w:szCs w:val="24"/>
        </w:rPr>
        <w:t>2</w:t>
      </w:r>
      <w:r w:rsidR="00396BEA">
        <w:rPr>
          <w:rFonts w:ascii="Times New Roman" w:hAnsi="Times New Roman"/>
          <w:sz w:val="24"/>
          <w:szCs w:val="24"/>
        </w:rPr>
        <w:t>4</w:t>
      </w:r>
      <w:r w:rsidRPr="00AC7C01">
        <w:rPr>
          <w:rFonts w:ascii="Times New Roman" w:hAnsi="Times New Roman"/>
          <w:sz w:val="24"/>
          <w:szCs w:val="24"/>
        </w:rPr>
        <w:t>. godini</w:t>
      </w:r>
      <w:r w:rsidR="00A76E46">
        <w:rPr>
          <w:rFonts w:ascii="Times New Roman" w:hAnsi="Times New Roman"/>
          <w:sz w:val="24"/>
          <w:szCs w:val="24"/>
        </w:rPr>
        <w:t xml:space="preserve"> troškovi raznih materijala (</w:t>
      </w:r>
      <w:r w:rsidR="00396BEA">
        <w:rPr>
          <w:rFonts w:ascii="Times New Roman" w:hAnsi="Times New Roman"/>
          <w:sz w:val="24"/>
          <w:szCs w:val="24"/>
        </w:rPr>
        <w:t xml:space="preserve">lijekovi, potrošni medicinski materijal, </w:t>
      </w:r>
      <w:r w:rsidR="00A76E46">
        <w:rPr>
          <w:rFonts w:ascii="Times New Roman" w:hAnsi="Times New Roman"/>
          <w:sz w:val="24"/>
          <w:szCs w:val="24"/>
        </w:rPr>
        <w:t>materijal za održavanje čistoće, ostali razni materijali) uvećani su u odnosu na isto razdoblje prethodne godine, zbog povećanog broja korisnika objekta Naftalan 2</w:t>
      </w:r>
      <w:r w:rsidR="00396BEA">
        <w:rPr>
          <w:rFonts w:ascii="Times New Roman" w:hAnsi="Times New Roman"/>
          <w:sz w:val="24"/>
          <w:szCs w:val="24"/>
        </w:rPr>
        <w:t xml:space="preserve"> i povećanje cijena materijala na tržištu.</w:t>
      </w:r>
    </w:p>
    <w:p w14:paraId="46FF1E58" w14:textId="4C856B6D" w:rsidR="00FC0ED3" w:rsidRDefault="00FC0ED3" w:rsidP="000D3E7A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 w:rsidRPr="004364D4">
        <w:rPr>
          <w:rFonts w:ascii="Times New Roman" w:hAnsi="Times New Roman"/>
          <w:sz w:val="24"/>
          <w:szCs w:val="24"/>
        </w:rPr>
        <w:t>Tekuće i investicijsko održavanje je u 202</w:t>
      </w:r>
      <w:r w:rsidR="00396BEA">
        <w:rPr>
          <w:rFonts w:ascii="Times New Roman" w:hAnsi="Times New Roman"/>
          <w:sz w:val="24"/>
          <w:szCs w:val="24"/>
        </w:rPr>
        <w:t>4</w:t>
      </w:r>
      <w:r w:rsidRPr="004364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iznosilo </w:t>
      </w:r>
      <w:r w:rsidR="00396BEA" w:rsidRPr="00396BEA">
        <w:rPr>
          <w:rFonts w:ascii="Times New Roman" w:hAnsi="Times New Roman"/>
          <w:sz w:val="24"/>
          <w:szCs w:val="24"/>
        </w:rPr>
        <w:t>328.555,61</w:t>
      </w:r>
      <w:r w:rsidR="00396BEA">
        <w:rPr>
          <w:rFonts w:ascii="Times New Roman" w:hAnsi="Times New Roman"/>
          <w:sz w:val="24"/>
          <w:szCs w:val="24"/>
        </w:rPr>
        <w:t xml:space="preserve"> </w:t>
      </w:r>
      <w:r w:rsidR="00A76E46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, od toga su </w:t>
      </w:r>
      <w:r w:rsidR="00396BEA">
        <w:rPr>
          <w:rFonts w:ascii="Times New Roman" w:hAnsi="Times New Roman"/>
        </w:rPr>
        <w:t xml:space="preserve">146.911,33 </w:t>
      </w:r>
      <w:r w:rsidR="00A76E46">
        <w:rPr>
          <w:rFonts w:ascii="Times New Roman" w:hAnsi="Times New Roman"/>
          <w:sz w:val="24"/>
          <w:szCs w:val="24"/>
        </w:rPr>
        <w:t xml:space="preserve">EUR </w:t>
      </w:r>
      <w:r>
        <w:rPr>
          <w:rFonts w:ascii="Times New Roman" w:hAnsi="Times New Roman"/>
          <w:sz w:val="24"/>
          <w:szCs w:val="24"/>
        </w:rPr>
        <w:t xml:space="preserve">sredstva Decentraliziranih funkcija. </w:t>
      </w:r>
    </w:p>
    <w:p w14:paraId="61609C12" w14:textId="77777777" w:rsidR="00396BEA" w:rsidRPr="002E0B1D" w:rsidRDefault="00396BEA" w:rsidP="00396BEA">
      <w:pPr>
        <w:spacing w:after="0"/>
        <w:ind w:firstLine="14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Zdravstvene i veterinarske usluge uvećane su za 88,7 %, odnosno 11.185,05 EUR. U 2024. godini provedena su zdravstveni pregledi radnika sukladno čl. 64. Zakona o zaštiti na radu (NN 94/18), i i</w:t>
      </w:r>
      <w:r w:rsidRPr="002E0B1D">
        <w:rPr>
          <w:rFonts w:ascii="Times New Roman" w:hAnsi="Times New Roman"/>
          <w:iCs/>
          <w:sz w:val="24"/>
          <w:szCs w:val="24"/>
        </w:rPr>
        <w:t xml:space="preserve">spitivanje i izrada balneološkog mišljenja o upotrebi </w:t>
      </w:r>
      <w:proofErr w:type="spellStart"/>
      <w:r w:rsidRPr="002E0B1D">
        <w:rPr>
          <w:rFonts w:ascii="Times New Roman" w:hAnsi="Times New Roman"/>
          <w:iCs/>
          <w:sz w:val="24"/>
          <w:szCs w:val="24"/>
        </w:rPr>
        <w:t>naftalana</w:t>
      </w:r>
      <w:proofErr w:type="spellEnd"/>
      <w:r w:rsidRPr="002E0B1D">
        <w:rPr>
          <w:rFonts w:ascii="Times New Roman" w:hAnsi="Times New Roman"/>
          <w:iCs/>
          <w:sz w:val="24"/>
          <w:szCs w:val="24"/>
        </w:rPr>
        <w:t xml:space="preserve"> u lječilišne svrhe</w:t>
      </w:r>
      <w:r>
        <w:rPr>
          <w:rFonts w:ascii="Times New Roman" w:hAnsi="Times New Roman"/>
          <w:iCs/>
          <w:sz w:val="24"/>
          <w:szCs w:val="24"/>
        </w:rPr>
        <w:t xml:space="preserve">, za što su sredstva refundirana od strane Ministarstva zdravstva temeljem </w:t>
      </w:r>
      <w:r w:rsidRPr="002E0B1D">
        <w:rPr>
          <w:rFonts w:ascii="Times New Roman" w:hAnsi="Times New Roman"/>
          <w:iCs/>
          <w:sz w:val="24"/>
          <w:szCs w:val="24"/>
        </w:rPr>
        <w:t>javn</w:t>
      </w:r>
      <w:r>
        <w:rPr>
          <w:rFonts w:ascii="Times New Roman" w:hAnsi="Times New Roman"/>
          <w:iCs/>
          <w:sz w:val="24"/>
          <w:szCs w:val="24"/>
        </w:rPr>
        <w:t>og</w:t>
      </w:r>
      <w:r w:rsidRPr="002E0B1D">
        <w:rPr>
          <w:rFonts w:ascii="Times New Roman" w:hAnsi="Times New Roman"/>
          <w:iCs/>
          <w:sz w:val="24"/>
          <w:szCs w:val="24"/>
        </w:rPr>
        <w:t xml:space="preserve"> poziv</w:t>
      </w:r>
      <w:r>
        <w:rPr>
          <w:rFonts w:ascii="Times New Roman" w:hAnsi="Times New Roman"/>
          <w:iCs/>
          <w:sz w:val="24"/>
          <w:szCs w:val="24"/>
        </w:rPr>
        <w:t>a</w:t>
      </w:r>
      <w:r w:rsidRPr="002E0B1D">
        <w:rPr>
          <w:rFonts w:ascii="Times New Roman" w:hAnsi="Times New Roman"/>
          <w:iCs/>
          <w:sz w:val="24"/>
          <w:szCs w:val="24"/>
        </w:rPr>
        <w:t xml:space="preserve"> na dostavu projektnih prijedloga</w:t>
      </w:r>
    </w:p>
    <w:p w14:paraId="52505633" w14:textId="77777777" w:rsidR="00396BEA" w:rsidRDefault="00396BEA" w:rsidP="00396BEA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„</w:t>
      </w:r>
      <w:r w:rsidRPr="002E0B1D">
        <w:rPr>
          <w:rFonts w:ascii="Times New Roman" w:hAnsi="Times New Roman"/>
          <w:iCs/>
          <w:sz w:val="24"/>
          <w:szCs w:val="24"/>
        </w:rPr>
        <w:t>Ulaganje u poboljšanje kvalitete pružanja lječilišnih usluga u zdravstvenom turizmu</w:t>
      </w:r>
      <w:r>
        <w:rPr>
          <w:rFonts w:ascii="Times New Roman" w:hAnsi="Times New Roman"/>
          <w:iCs/>
          <w:sz w:val="24"/>
          <w:szCs w:val="24"/>
        </w:rPr>
        <w:t>“.</w:t>
      </w:r>
    </w:p>
    <w:p w14:paraId="08E0EABE" w14:textId="77777777" w:rsidR="00396BEA" w:rsidRPr="00BC3149" w:rsidRDefault="00396BEA" w:rsidP="00396BEA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14:paraId="0FCD897A" w14:textId="763823CB" w:rsidR="008A3A88" w:rsidRDefault="00FC0ED3" w:rsidP="008A3A88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CF2DA8">
        <w:rPr>
          <w:rFonts w:ascii="Times New Roman" w:hAnsi="Times New Roman"/>
          <w:sz w:val="24"/>
          <w:szCs w:val="24"/>
        </w:rPr>
        <w:t>Troškovi bruto plaće su u 202</w:t>
      </w:r>
      <w:r w:rsidR="00396BEA">
        <w:rPr>
          <w:rFonts w:ascii="Times New Roman" w:hAnsi="Times New Roman"/>
          <w:sz w:val="24"/>
          <w:szCs w:val="24"/>
        </w:rPr>
        <w:t>4</w:t>
      </w:r>
      <w:r w:rsidRPr="00CF2DA8">
        <w:rPr>
          <w:rFonts w:ascii="Times New Roman" w:hAnsi="Times New Roman"/>
          <w:sz w:val="24"/>
          <w:szCs w:val="24"/>
        </w:rPr>
        <w:t>. godini iznosili</w:t>
      </w:r>
      <w:r w:rsidR="004A5AE7">
        <w:rPr>
          <w:rFonts w:ascii="Times New Roman" w:hAnsi="Times New Roman"/>
          <w:sz w:val="24"/>
          <w:szCs w:val="24"/>
        </w:rPr>
        <w:t xml:space="preserve"> </w:t>
      </w:r>
      <w:r w:rsidR="00396BEA" w:rsidRPr="00396BEA">
        <w:rPr>
          <w:rFonts w:ascii="Times New Roman" w:hAnsi="Times New Roman"/>
          <w:sz w:val="24"/>
          <w:szCs w:val="24"/>
        </w:rPr>
        <w:t>3.950.825,28</w:t>
      </w:r>
      <w:r w:rsidR="00396BEA">
        <w:rPr>
          <w:rFonts w:ascii="Times New Roman" w:hAnsi="Times New Roman"/>
          <w:sz w:val="24"/>
          <w:szCs w:val="24"/>
        </w:rPr>
        <w:t xml:space="preserve"> </w:t>
      </w:r>
      <w:r w:rsidR="004A5AE7">
        <w:rPr>
          <w:rFonts w:ascii="Times New Roman" w:hAnsi="Times New Roman"/>
          <w:sz w:val="24"/>
          <w:szCs w:val="24"/>
        </w:rPr>
        <w:t>EUR</w:t>
      </w:r>
      <w:r w:rsidRPr="00CF2DA8">
        <w:rPr>
          <w:rFonts w:ascii="Times New Roman" w:hAnsi="Times New Roman"/>
          <w:sz w:val="24"/>
          <w:szCs w:val="24"/>
        </w:rPr>
        <w:t>, što je za</w:t>
      </w:r>
      <w:r w:rsidR="004A5AE7">
        <w:rPr>
          <w:rFonts w:ascii="Times New Roman" w:hAnsi="Times New Roman"/>
          <w:sz w:val="24"/>
          <w:szCs w:val="24"/>
        </w:rPr>
        <w:t xml:space="preserve"> </w:t>
      </w:r>
      <w:r w:rsidR="008A3A88">
        <w:rPr>
          <w:rFonts w:ascii="Times New Roman" w:hAnsi="Times New Roman"/>
          <w:sz w:val="24"/>
          <w:szCs w:val="24"/>
        </w:rPr>
        <w:t xml:space="preserve">980.305,07 </w:t>
      </w:r>
      <w:r w:rsidR="004A5AE7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, odnosno </w:t>
      </w:r>
      <w:r w:rsidR="008A3A88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%</w:t>
      </w:r>
      <w:r w:rsidRPr="00CF2DA8">
        <w:rPr>
          <w:rFonts w:ascii="Times New Roman" w:hAnsi="Times New Roman"/>
          <w:sz w:val="24"/>
          <w:szCs w:val="24"/>
        </w:rPr>
        <w:t xml:space="preserve"> više nego u istom razdoblju 202</w:t>
      </w:r>
      <w:r w:rsidR="008A3A88">
        <w:rPr>
          <w:rFonts w:ascii="Times New Roman" w:hAnsi="Times New Roman"/>
          <w:sz w:val="24"/>
          <w:szCs w:val="24"/>
        </w:rPr>
        <w:t>3</w:t>
      </w:r>
      <w:r w:rsidRPr="00CF2DA8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.</w:t>
      </w:r>
      <w:r w:rsidRPr="00CF2DA8">
        <w:rPr>
          <w:rFonts w:ascii="Times New Roman" w:hAnsi="Times New Roman"/>
          <w:sz w:val="24"/>
          <w:szCs w:val="24"/>
        </w:rPr>
        <w:t xml:space="preserve"> </w:t>
      </w:r>
      <w:r w:rsidR="008A3A88">
        <w:rPr>
          <w:rFonts w:ascii="Times New Roman" w:hAnsi="Times New Roman"/>
          <w:sz w:val="24"/>
          <w:szCs w:val="24"/>
        </w:rPr>
        <w:t xml:space="preserve">Do povećanja je došlo zbog povećanja koeficijenata sukladno </w:t>
      </w:r>
      <w:r w:rsidR="008A3A88" w:rsidRPr="00A83C5A">
        <w:rPr>
          <w:rFonts w:ascii="Times New Roman" w:hAnsi="Times New Roman"/>
          <w:sz w:val="24"/>
          <w:szCs w:val="24"/>
        </w:rPr>
        <w:t>Uredb</w:t>
      </w:r>
      <w:r w:rsidR="008A3A88">
        <w:rPr>
          <w:rFonts w:ascii="Times New Roman" w:hAnsi="Times New Roman"/>
          <w:sz w:val="24"/>
          <w:szCs w:val="24"/>
        </w:rPr>
        <w:t>i</w:t>
      </w:r>
      <w:r w:rsidR="008A3A88" w:rsidRPr="00A83C5A">
        <w:rPr>
          <w:rFonts w:ascii="Times New Roman" w:hAnsi="Times New Roman"/>
          <w:sz w:val="24"/>
          <w:szCs w:val="24"/>
        </w:rPr>
        <w:t xml:space="preserve"> Vlade RH, o nazivima radnih mjesta, uvjetima za raspored i koeficijentima za obračun plaće u javnim službama (NN 22/2024)</w:t>
      </w:r>
      <w:r w:rsidR="008A3A88">
        <w:rPr>
          <w:rFonts w:ascii="Times New Roman" w:hAnsi="Times New Roman"/>
          <w:sz w:val="24"/>
          <w:szCs w:val="24"/>
        </w:rPr>
        <w:t>.</w:t>
      </w:r>
    </w:p>
    <w:p w14:paraId="6FFA2B95" w14:textId="5B1FB482" w:rsidR="00FC0ED3" w:rsidRPr="00CF2DA8" w:rsidRDefault="00FC0ED3" w:rsidP="000D3E7A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63C92148" w14:textId="4DE8C8D5" w:rsidR="00FC0ED3" w:rsidRPr="00AA1969" w:rsidRDefault="00FC0ED3" w:rsidP="000D3E7A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 w:rsidRPr="00CF2DA8">
        <w:rPr>
          <w:rFonts w:ascii="Times New Roman" w:hAnsi="Times New Roman"/>
          <w:sz w:val="24"/>
          <w:szCs w:val="24"/>
        </w:rPr>
        <w:lastRenderedPageBreak/>
        <w:t>Ostali rashodi za zaposlene, doprinosi na plaće, izdaci za prijevoz i ostali materijalni rashodi za zaposlene, su u 202</w:t>
      </w:r>
      <w:r w:rsidR="008A3A88">
        <w:rPr>
          <w:rFonts w:ascii="Times New Roman" w:hAnsi="Times New Roman"/>
          <w:sz w:val="24"/>
          <w:szCs w:val="24"/>
        </w:rPr>
        <w:t>4</w:t>
      </w:r>
      <w:r w:rsidRPr="00CF2DA8">
        <w:rPr>
          <w:rFonts w:ascii="Times New Roman" w:hAnsi="Times New Roman"/>
          <w:sz w:val="24"/>
          <w:szCs w:val="24"/>
        </w:rPr>
        <w:t xml:space="preserve">. porasli sukladno porastu </w:t>
      </w:r>
      <w:r>
        <w:rPr>
          <w:rFonts w:ascii="Times New Roman" w:hAnsi="Times New Roman"/>
          <w:sz w:val="24"/>
          <w:szCs w:val="24"/>
        </w:rPr>
        <w:t>troškova bruto plaće.</w:t>
      </w:r>
      <w:r w:rsidR="004C5B5B">
        <w:rPr>
          <w:rFonts w:ascii="Times New Roman" w:hAnsi="Times New Roman"/>
          <w:sz w:val="24"/>
          <w:szCs w:val="24"/>
        </w:rPr>
        <w:t xml:space="preserve"> Također su se sukladno Dodacima TKU-a za službenike i namještenike u javnim službama isplaćivale prigodne nagrade zaposlenima. </w:t>
      </w:r>
    </w:p>
    <w:p w14:paraId="2277D452" w14:textId="6A589EB2" w:rsidR="000D3E7A" w:rsidRPr="00D82074" w:rsidRDefault="00FC0ED3" w:rsidP="00FC63C9">
      <w:pPr>
        <w:autoSpaceDE w:val="0"/>
        <w:autoSpaceDN w:val="0"/>
        <w:ind w:firstLine="142"/>
        <w:jc w:val="both"/>
        <w:rPr>
          <w:rFonts w:ascii="Times New Roman" w:hAnsi="Times New Roman"/>
          <w:sz w:val="24"/>
          <w:szCs w:val="24"/>
        </w:rPr>
      </w:pPr>
      <w:r w:rsidRPr="00CF2DA8">
        <w:rPr>
          <w:rFonts w:ascii="Times New Roman" w:hAnsi="Times New Roman"/>
          <w:sz w:val="24"/>
          <w:szCs w:val="24"/>
        </w:rPr>
        <w:t>Izdaci za kapitalna ulaganja su u 202</w:t>
      </w:r>
      <w:r w:rsidR="008A3A88">
        <w:rPr>
          <w:rFonts w:ascii="Times New Roman" w:hAnsi="Times New Roman"/>
          <w:sz w:val="24"/>
          <w:szCs w:val="24"/>
        </w:rPr>
        <w:t>4</w:t>
      </w:r>
      <w:r w:rsidRPr="00CF2DA8">
        <w:rPr>
          <w:rFonts w:ascii="Times New Roman" w:hAnsi="Times New Roman"/>
          <w:sz w:val="24"/>
          <w:szCs w:val="24"/>
        </w:rPr>
        <w:t xml:space="preserve">. godini </w:t>
      </w:r>
      <w:r>
        <w:rPr>
          <w:rFonts w:ascii="Times New Roman" w:hAnsi="Times New Roman"/>
          <w:sz w:val="24"/>
          <w:szCs w:val="24"/>
        </w:rPr>
        <w:t>iznosili</w:t>
      </w:r>
      <w:r w:rsidR="000D3E7A">
        <w:rPr>
          <w:rFonts w:ascii="Times New Roman" w:hAnsi="Times New Roman"/>
          <w:sz w:val="24"/>
          <w:szCs w:val="24"/>
        </w:rPr>
        <w:t xml:space="preserve"> </w:t>
      </w:r>
      <w:r w:rsidR="008A3A88" w:rsidRPr="008A3A88">
        <w:rPr>
          <w:rFonts w:ascii="Times New Roman" w:hAnsi="Times New Roman"/>
          <w:sz w:val="24"/>
          <w:szCs w:val="24"/>
        </w:rPr>
        <w:t>307.283,62</w:t>
      </w:r>
      <w:r w:rsidR="008A3A88">
        <w:rPr>
          <w:rFonts w:ascii="Times New Roman" w:hAnsi="Times New Roman"/>
          <w:sz w:val="24"/>
          <w:szCs w:val="24"/>
        </w:rPr>
        <w:t xml:space="preserve"> </w:t>
      </w:r>
      <w:r w:rsidR="000D3E7A">
        <w:rPr>
          <w:rFonts w:ascii="Times New Roman" w:hAnsi="Times New Roman"/>
          <w:sz w:val="24"/>
          <w:szCs w:val="24"/>
        </w:rPr>
        <w:t>EUR</w:t>
      </w:r>
      <w:r w:rsidRPr="00CF2DA8">
        <w:rPr>
          <w:rFonts w:ascii="Times New Roman" w:hAnsi="Times New Roman"/>
          <w:sz w:val="24"/>
          <w:szCs w:val="24"/>
        </w:rPr>
        <w:t xml:space="preserve">, od </w:t>
      </w:r>
      <w:r>
        <w:rPr>
          <w:rFonts w:ascii="Times New Roman" w:hAnsi="Times New Roman"/>
          <w:sz w:val="24"/>
          <w:szCs w:val="24"/>
        </w:rPr>
        <w:t xml:space="preserve">kojih je </w:t>
      </w:r>
      <w:r w:rsidR="008A3A88" w:rsidRPr="008A3A88">
        <w:rPr>
          <w:rFonts w:ascii="Times New Roman" w:hAnsi="Times New Roman"/>
          <w:sz w:val="24"/>
          <w:szCs w:val="24"/>
        </w:rPr>
        <w:t>161.179,70</w:t>
      </w:r>
      <w:r w:rsidR="008A3A88">
        <w:rPr>
          <w:rFonts w:ascii="Times New Roman" w:hAnsi="Times New Roman"/>
        </w:rPr>
        <w:t xml:space="preserve"> </w:t>
      </w:r>
      <w:r w:rsidR="000D3E7A">
        <w:rPr>
          <w:rFonts w:ascii="Times New Roman" w:hAnsi="Times New Roman"/>
          <w:sz w:val="24"/>
          <w:szCs w:val="24"/>
        </w:rPr>
        <w:t xml:space="preserve">EUR </w:t>
      </w:r>
      <w:r>
        <w:rPr>
          <w:rFonts w:ascii="Times New Roman" w:hAnsi="Times New Roman"/>
          <w:sz w:val="24"/>
          <w:szCs w:val="24"/>
        </w:rPr>
        <w:t>podmireno iz D</w:t>
      </w:r>
      <w:r w:rsidRPr="001A79F9">
        <w:rPr>
          <w:rFonts w:ascii="Times New Roman" w:hAnsi="Times New Roman"/>
          <w:sz w:val="24"/>
          <w:szCs w:val="24"/>
        </w:rPr>
        <w:t>ecentraliziranih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9F9">
        <w:rPr>
          <w:rFonts w:ascii="Times New Roman" w:hAnsi="Times New Roman"/>
          <w:sz w:val="24"/>
          <w:szCs w:val="24"/>
        </w:rPr>
        <w:t>sredstava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C1C3B18" w14:textId="3C419C4F" w:rsidR="00115348" w:rsidRPr="00063969" w:rsidRDefault="00A374E4" w:rsidP="00A374E4">
      <w:pPr>
        <w:pStyle w:val="Bezproreda"/>
        <w:jc w:val="both"/>
        <w:rPr>
          <w:szCs w:val="24"/>
          <w:lang w:bidi="ar-KW"/>
        </w:rPr>
      </w:pPr>
      <w:r>
        <w:rPr>
          <w:szCs w:val="24"/>
          <w:lang w:bidi="ar-KW"/>
        </w:rPr>
        <w:t xml:space="preserve">  </w:t>
      </w:r>
      <w:r w:rsidR="00115348" w:rsidRPr="00063969">
        <w:rPr>
          <w:szCs w:val="24"/>
          <w:lang w:bidi="ar-KW"/>
        </w:rPr>
        <w:t>Ukupni rashodi i izdaci I. -XII. 202</w:t>
      </w:r>
      <w:r w:rsidR="008A3A88">
        <w:rPr>
          <w:szCs w:val="24"/>
          <w:lang w:bidi="ar-KW"/>
        </w:rPr>
        <w:t>4</w:t>
      </w:r>
      <w:r w:rsidR="00115348" w:rsidRPr="00063969">
        <w:rPr>
          <w:szCs w:val="24"/>
          <w:lang w:bidi="ar-KW"/>
        </w:rPr>
        <w:t>. godine vezani uz izvor financiranja županije iznose</w:t>
      </w:r>
      <w:r w:rsidR="008A3A88">
        <w:rPr>
          <w:szCs w:val="24"/>
          <w:lang w:bidi="ar-KW"/>
        </w:rPr>
        <w:t xml:space="preserve"> </w:t>
      </w:r>
      <w:r w:rsidR="008A3A88">
        <w:rPr>
          <w:szCs w:val="24"/>
        </w:rPr>
        <w:t>625.840,34</w:t>
      </w:r>
      <w:r w:rsidR="00115348" w:rsidRPr="00063969">
        <w:rPr>
          <w:szCs w:val="24"/>
          <w:lang w:bidi="ar-KW"/>
        </w:rPr>
        <w:t xml:space="preserve"> </w:t>
      </w:r>
      <w:r w:rsidR="00FC63C9">
        <w:rPr>
          <w:szCs w:val="24"/>
          <w:lang w:bidi="ar-KW"/>
        </w:rPr>
        <w:t xml:space="preserve">EUR </w:t>
      </w:r>
      <w:r w:rsidR="00115348" w:rsidRPr="00063969">
        <w:rPr>
          <w:szCs w:val="24"/>
          <w:lang w:bidi="ar-KW"/>
        </w:rPr>
        <w:t>od čega rashodi poslovanja</w:t>
      </w:r>
      <w:r w:rsidR="00FC63C9">
        <w:rPr>
          <w:szCs w:val="24"/>
          <w:lang w:bidi="ar-KW"/>
        </w:rPr>
        <w:t xml:space="preserve"> </w:t>
      </w:r>
      <w:r w:rsidR="008A3A88">
        <w:rPr>
          <w:szCs w:val="24"/>
        </w:rPr>
        <w:t xml:space="preserve">199.215,64 </w:t>
      </w:r>
      <w:r w:rsidR="00FC63C9">
        <w:rPr>
          <w:szCs w:val="24"/>
          <w:lang w:bidi="ar-KW"/>
        </w:rPr>
        <w:t>EUR</w:t>
      </w:r>
      <w:r w:rsidR="00115348" w:rsidRPr="00063969">
        <w:rPr>
          <w:szCs w:val="24"/>
          <w:lang w:bidi="ar-KW"/>
        </w:rPr>
        <w:t xml:space="preserve">, rashodi  za nabavu nefinancijske imovine  iznose </w:t>
      </w:r>
      <w:r w:rsidR="008A3A88">
        <w:rPr>
          <w:szCs w:val="24"/>
        </w:rPr>
        <w:t>161.179,70</w:t>
      </w:r>
      <w:r w:rsidR="00FC63C9">
        <w:rPr>
          <w:szCs w:val="24"/>
          <w:lang w:bidi="ar-KW"/>
        </w:rPr>
        <w:t xml:space="preserve"> EUR </w:t>
      </w:r>
      <w:r w:rsidR="00115348" w:rsidRPr="00063969">
        <w:rPr>
          <w:szCs w:val="24"/>
          <w:lang w:bidi="ar-KW"/>
        </w:rPr>
        <w:t xml:space="preserve">, te izdaci za financijsku imovinu i otplate zajmova </w:t>
      </w:r>
      <w:r w:rsidR="00FC63C9">
        <w:rPr>
          <w:szCs w:val="24"/>
          <w:lang w:bidi="ar-KW"/>
        </w:rPr>
        <w:t>265.445 EUR</w:t>
      </w:r>
      <w:r w:rsidR="00115348" w:rsidRPr="00063969">
        <w:rPr>
          <w:szCs w:val="24"/>
          <w:lang w:bidi="ar-KW"/>
        </w:rPr>
        <w:t>.</w:t>
      </w:r>
    </w:p>
    <w:p w14:paraId="4931AD2E" w14:textId="3CC02742" w:rsidR="00115348" w:rsidRPr="00A374E4" w:rsidRDefault="00115348" w:rsidP="008A3A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74E4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14:paraId="11CDA4E4" w14:textId="3DCABD7C" w:rsidR="00115348" w:rsidRDefault="00115348" w:rsidP="00115348">
      <w:pPr>
        <w:spacing w:after="0"/>
        <w:rPr>
          <w:rFonts w:ascii="Times New Roman" w:hAnsi="Times New Roman"/>
          <w:sz w:val="24"/>
          <w:szCs w:val="24"/>
          <w:lang w:bidi="ar-KW"/>
        </w:rPr>
      </w:pPr>
      <w:r w:rsidRPr="00826F70">
        <w:rPr>
          <w:rFonts w:ascii="Times New Roman" w:hAnsi="Times New Roman"/>
          <w:sz w:val="24"/>
          <w:szCs w:val="24"/>
          <w:lang w:bidi="ar-KW"/>
        </w:rPr>
        <w:t>Rashodi za nabavu nefinancijske imovine u iznosu</w:t>
      </w:r>
      <w:r w:rsidR="009842CC">
        <w:rPr>
          <w:rFonts w:ascii="Times New Roman" w:hAnsi="Times New Roman"/>
          <w:sz w:val="24"/>
          <w:szCs w:val="24"/>
          <w:lang w:bidi="ar-KW"/>
        </w:rPr>
        <w:t xml:space="preserve"> </w:t>
      </w:r>
      <w:r w:rsidR="008A3A88">
        <w:rPr>
          <w:rFonts w:ascii="Times New Roman" w:hAnsi="Times New Roman"/>
          <w:sz w:val="24"/>
          <w:szCs w:val="24"/>
        </w:rPr>
        <w:t>161.179,70</w:t>
      </w:r>
      <w:r w:rsidR="008A3A88">
        <w:rPr>
          <w:szCs w:val="24"/>
          <w:lang w:bidi="ar-KW"/>
        </w:rPr>
        <w:t xml:space="preserve"> </w:t>
      </w:r>
      <w:r w:rsidR="009842CC">
        <w:rPr>
          <w:rFonts w:ascii="Times New Roman" w:hAnsi="Times New Roman"/>
          <w:sz w:val="24"/>
          <w:szCs w:val="24"/>
          <w:lang w:bidi="ar-KW"/>
        </w:rPr>
        <w:t xml:space="preserve">EUR </w:t>
      </w:r>
      <w:r w:rsidRPr="00826F70">
        <w:rPr>
          <w:rFonts w:ascii="Times New Roman" w:hAnsi="Times New Roman"/>
          <w:sz w:val="24"/>
          <w:szCs w:val="24"/>
          <w:lang w:bidi="ar-KW"/>
        </w:rPr>
        <w:t>odnose se na:</w:t>
      </w:r>
    </w:p>
    <w:p w14:paraId="016992F4" w14:textId="77777777" w:rsidR="004F7281" w:rsidRPr="00826F70" w:rsidRDefault="004F7281" w:rsidP="00115348">
      <w:pPr>
        <w:spacing w:after="0"/>
        <w:rPr>
          <w:rFonts w:ascii="Times New Roman" w:hAnsi="Times New Roman"/>
          <w:sz w:val="24"/>
          <w:szCs w:val="24"/>
          <w:lang w:bidi="ar-KW"/>
        </w:rPr>
      </w:pPr>
    </w:p>
    <w:tbl>
      <w:tblPr>
        <w:tblpPr w:leftFromText="180" w:rightFromText="180" w:vertAnchor="text" w:horzAnchor="margin" w:tblpXSpec="center" w:tblpY="74"/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3840"/>
      </w:tblGrid>
      <w:tr w:rsidR="004F7281" w:rsidRPr="00E14672" w14:paraId="6D1C837D" w14:textId="77777777" w:rsidTr="00A374E4">
        <w:trPr>
          <w:trHeight w:val="290"/>
        </w:trPr>
        <w:tc>
          <w:tcPr>
            <w:tcW w:w="3814" w:type="dxa"/>
          </w:tcPr>
          <w:p w14:paraId="193B76E1" w14:textId="099F313E" w:rsidR="004F7281" w:rsidRPr="00E14672" w:rsidRDefault="004F7281" w:rsidP="00C15D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bidi="ar-KW"/>
              </w:rPr>
            </w:pPr>
          </w:p>
        </w:tc>
        <w:tc>
          <w:tcPr>
            <w:tcW w:w="3840" w:type="dxa"/>
          </w:tcPr>
          <w:p w14:paraId="194C441F" w14:textId="77777777" w:rsidR="004F7281" w:rsidRPr="00E14672" w:rsidRDefault="004F7281" w:rsidP="00C15D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b/>
                <w:sz w:val="24"/>
                <w:szCs w:val="24"/>
                <w:lang w:bidi="ar-KW"/>
              </w:rPr>
              <w:t>Decentralizirana sredstva</w:t>
            </w:r>
          </w:p>
        </w:tc>
      </w:tr>
      <w:tr w:rsidR="004F7281" w:rsidRPr="00E14672" w14:paraId="4BD5B3FC" w14:textId="77777777" w:rsidTr="00A374E4">
        <w:trPr>
          <w:trHeight w:val="290"/>
        </w:trPr>
        <w:tc>
          <w:tcPr>
            <w:tcW w:w="3814" w:type="dxa"/>
          </w:tcPr>
          <w:p w14:paraId="79ED53E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Uredska oprema i namještaj</w:t>
            </w:r>
          </w:p>
        </w:tc>
        <w:tc>
          <w:tcPr>
            <w:tcW w:w="3840" w:type="dxa"/>
          </w:tcPr>
          <w:p w14:paraId="20B80083" w14:textId="08CA5DB9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33.031,23</w:t>
            </w:r>
          </w:p>
        </w:tc>
      </w:tr>
      <w:tr w:rsidR="004F7281" w:rsidRPr="00E14672" w14:paraId="4ED725E2" w14:textId="77777777" w:rsidTr="008A3A88">
        <w:trPr>
          <w:trHeight w:val="459"/>
        </w:trPr>
        <w:tc>
          <w:tcPr>
            <w:tcW w:w="3814" w:type="dxa"/>
          </w:tcPr>
          <w:p w14:paraId="6066A309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Oprema za održavanje i zaštitu</w:t>
            </w:r>
          </w:p>
        </w:tc>
        <w:tc>
          <w:tcPr>
            <w:tcW w:w="3840" w:type="dxa"/>
          </w:tcPr>
          <w:p w14:paraId="5C897DF7" w14:textId="6DC7ED3E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54.800,00</w:t>
            </w:r>
          </w:p>
        </w:tc>
      </w:tr>
      <w:tr w:rsidR="004F7281" w:rsidRPr="00E14672" w14:paraId="347C0DE9" w14:textId="77777777" w:rsidTr="008A3A88">
        <w:trPr>
          <w:trHeight w:val="424"/>
        </w:trPr>
        <w:tc>
          <w:tcPr>
            <w:tcW w:w="3814" w:type="dxa"/>
          </w:tcPr>
          <w:p w14:paraId="2ED533E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Medicinska i laboratorijska oprema</w:t>
            </w:r>
          </w:p>
        </w:tc>
        <w:tc>
          <w:tcPr>
            <w:tcW w:w="3840" w:type="dxa"/>
          </w:tcPr>
          <w:p w14:paraId="44342457" w14:textId="3301B95C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30.903,88</w:t>
            </w:r>
          </w:p>
        </w:tc>
      </w:tr>
      <w:tr w:rsidR="004F7281" w:rsidRPr="00E14672" w14:paraId="597F86F2" w14:textId="77777777" w:rsidTr="00A374E4">
        <w:trPr>
          <w:trHeight w:val="581"/>
        </w:trPr>
        <w:tc>
          <w:tcPr>
            <w:tcW w:w="3814" w:type="dxa"/>
          </w:tcPr>
          <w:p w14:paraId="162E8654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Uređaji, strojevi i oprema za ostale namjene</w:t>
            </w:r>
          </w:p>
        </w:tc>
        <w:tc>
          <w:tcPr>
            <w:tcW w:w="3840" w:type="dxa"/>
          </w:tcPr>
          <w:p w14:paraId="11E40076" w14:textId="2F971F37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17.727,13</w:t>
            </w:r>
          </w:p>
        </w:tc>
      </w:tr>
      <w:tr w:rsidR="004F7281" w:rsidRPr="00E14672" w14:paraId="3E4C11E9" w14:textId="77777777" w:rsidTr="00A374E4">
        <w:trPr>
          <w:trHeight w:val="581"/>
        </w:trPr>
        <w:tc>
          <w:tcPr>
            <w:tcW w:w="3814" w:type="dxa"/>
          </w:tcPr>
          <w:p w14:paraId="0C68EAA1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Dodatna ulaganja na građevinskim objektima</w:t>
            </w:r>
          </w:p>
        </w:tc>
        <w:tc>
          <w:tcPr>
            <w:tcW w:w="3840" w:type="dxa"/>
          </w:tcPr>
          <w:p w14:paraId="2FFDC781" w14:textId="4A9317D6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13.628,46</w:t>
            </w:r>
          </w:p>
        </w:tc>
      </w:tr>
      <w:tr w:rsidR="004F7281" w:rsidRPr="00E14672" w14:paraId="4C23BF8E" w14:textId="77777777" w:rsidTr="00A374E4">
        <w:trPr>
          <w:trHeight w:val="276"/>
        </w:trPr>
        <w:tc>
          <w:tcPr>
            <w:tcW w:w="3814" w:type="dxa"/>
          </w:tcPr>
          <w:p w14:paraId="0757EA4B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Licence</w:t>
            </w:r>
          </w:p>
        </w:tc>
        <w:tc>
          <w:tcPr>
            <w:tcW w:w="3840" w:type="dxa"/>
          </w:tcPr>
          <w:p w14:paraId="52C40022" w14:textId="1AE8053A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2.762,50</w:t>
            </w:r>
          </w:p>
        </w:tc>
      </w:tr>
      <w:tr w:rsidR="004F7281" w:rsidRPr="00E14672" w14:paraId="0BCB67F7" w14:textId="77777777" w:rsidTr="00A374E4">
        <w:trPr>
          <w:trHeight w:val="290"/>
        </w:trPr>
        <w:tc>
          <w:tcPr>
            <w:tcW w:w="3814" w:type="dxa"/>
          </w:tcPr>
          <w:p w14:paraId="12789583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sz w:val="24"/>
                <w:szCs w:val="24"/>
                <w:lang w:bidi="ar-KW"/>
              </w:rPr>
              <w:t>Računala i računalna oprema</w:t>
            </w:r>
          </w:p>
        </w:tc>
        <w:tc>
          <w:tcPr>
            <w:tcW w:w="3840" w:type="dxa"/>
          </w:tcPr>
          <w:p w14:paraId="370C7DC9" w14:textId="26295DB8" w:rsidR="004F7281" w:rsidRPr="00E14672" w:rsidRDefault="008A3A88" w:rsidP="00C15D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bidi="ar-KW"/>
              </w:rPr>
            </w:pPr>
            <w:r>
              <w:rPr>
                <w:rFonts w:ascii="Times New Roman" w:hAnsi="Times New Roman"/>
                <w:sz w:val="24"/>
                <w:szCs w:val="24"/>
                <w:lang w:bidi="ar-KW"/>
              </w:rPr>
              <w:t>8.326,50</w:t>
            </w:r>
          </w:p>
        </w:tc>
      </w:tr>
      <w:tr w:rsidR="004F7281" w:rsidRPr="00E14672" w14:paraId="4B92AA84" w14:textId="77777777" w:rsidTr="00A374E4">
        <w:trPr>
          <w:trHeight w:val="290"/>
        </w:trPr>
        <w:tc>
          <w:tcPr>
            <w:tcW w:w="3814" w:type="dxa"/>
          </w:tcPr>
          <w:p w14:paraId="2B33AEE2" w14:textId="77777777" w:rsidR="004F7281" w:rsidRPr="00E14672" w:rsidRDefault="004F7281" w:rsidP="00C15D4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bidi="ar-KW"/>
              </w:rPr>
            </w:pPr>
            <w:r w:rsidRPr="00E14672">
              <w:rPr>
                <w:rFonts w:ascii="Times New Roman" w:hAnsi="Times New Roman"/>
                <w:b/>
                <w:sz w:val="24"/>
                <w:szCs w:val="24"/>
                <w:lang w:bidi="ar-KW"/>
              </w:rPr>
              <w:t>UKUPNO:</w:t>
            </w:r>
          </w:p>
        </w:tc>
        <w:tc>
          <w:tcPr>
            <w:tcW w:w="3840" w:type="dxa"/>
          </w:tcPr>
          <w:p w14:paraId="78C8D24A" w14:textId="4C7EECE8" w:rsidR="004F7281" w:rsidRPr="008A3A88" w:rsidRDefault="008A3A88" w:rsidP="00C15D45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bidi="ar-KW"/>
              </w:rPr>
            </w:pPr>
            <w:r w:rsidRPr="008A3A88">
              <w:rPr>
                <w:rFonts w:ascii="Times New Roman" w:hAnsi="Times New Roman"/>
                <w:b/>
                <w:bCs/>
                <w:sz w:val="24"/>
                <w:szCs w:val="24"/>
                <w:lang w:bidi="ar-KW"/>
              </w:rPr>
              <w:t>161.179,70</w:t>
            </w:r>
          </w:p>
        </w:tc>
      </w:tr>
    </w:tbl>
    <w:p w14:paraId="04F32BEF" w14:textId="77777777" w:rsidR="00B87DFC" w:rsidRDefault="00B87DFC" w:rsidP="00D61F1F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</w:p>
    <w:p w14:paraId="45424D0A" w14:textId="77777777" w:rsidR="004F7281" w:rsidRDefault="004F7281" w:rsidP="00D61F1F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</w:p>
    <w:p w14:paraId="79396260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2CDDA84B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3CCA067C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79F4EDE7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72BD21BB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62FBF29A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1496238C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162A172C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758E1D64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77A8B907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0FB57297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0C94C53D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605AF11A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0995DEC5" w14:textId="77777777" w:rsidR="008A3A88" w:rsidRPr="008A3A88" w:rsidRDefault="008A3A88" w:rsidP="008A3A88">
      <w:pPr>
        <w:rPr>
          <w:rFonts w:ascii="Times New Roman" w:hAnsi="Times New Roman"/>
          <w:sz w:val="18"/>
          <w:szCs w:val="24"/>
        </w:rPr>
      </w:pPr>
    </w:p>
    <w:p w14:paraId="0E60D72E" w14:textId="77777777" w:rsidR="008A3A88" w:rsidRDefault="008A3A88" w:rsidP="008A3A88">
      <w:pPr>
        <w:rPr>
          <w:rFonts w:ascii="Times New Roman" w:hAnsi="Times New Roman"/>
          <w:sz w:val="18"/>
          <w:szCs w:val="24"/>
        </w:rPr>
        <w:sectPr w:rsidR="008A3A88" w:rsidSect="00DD77BA">
          <w:footerReference w:type="default" r:id="rId9"/>
          <w:type w:val="continuous"/>
          <w:pgSz w:w="11906" w:h="16838"/>
          <w:pgMar w:top="1417" w:right="1417" w:bottom="1135" w:left="1417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" w:tblpY="1786"/>
        <w:tblW w:w="20579" w:type="dxa"/>
        <w:tblLook w:val="04A0" w:firstRow="1" w:lastRow="0" w:firstColumn="1" w:lastColumn="0" w:noHBand="0" w:noVBand="1"/>
      </w:tblPr>
      <w:tblGrid>
        <w:gridCol w:w="18160"/>
        <w:gridCol w:w="246"/>
        <w:gridCol w:w="247"/>
        <w:gridCol w:w="247"/>
        <w:gridCol w:w="222"/>
        <w:gridCol w:w="222"/>
        <w:gridCol w:w="247"/>
        <w:gridCol w:w="247"/>
        <w:gridCol w:w="247"/>
        <w:gridCol w:w="247"/>
        <w:gridCol w:w="247"/>
      </w:tblGrid>
      <w:tr w:rsidR="008A3A88" w:rsidRPr="0070339E" w14:paraId="75FB180F" w14:textId="77777777" w:rsidTr="008A3A88">
        <w:trPr>
          <w:trHeight w:val="142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D5A75" w14:textId="02734001" w:rsidR="008A3A88" w:rsidRDefault="008A3A88" w:rsidP="008A3A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OBVEZE</w:t>
            </w:r>
          </w:p>
          <w:p w14:paraId="5E441C35" w14:textId="77777777" w:rsidR="008A3A88" w:rsidRPr="0001181F" w:rsidRDefault="008A3A88" w:rsidP="008A3A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A88" w:rsidRPr="0070339E" w14:paraId="6D687A49" w14:textId="77777777" w:rsidTr="008A3A88">
        <w:trPr>
          <w:trHeight w:val="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5449" w:type="dxa"/>
              <w:tblInd w:w="662" w:type="dxa"/>
              <w:tblLook w:val="04A0" w:firstRow="1" w:lastRow="0" w:firstColumn="1" w:lastColumn="0" w:noHBand="0" w:noVBand="1"/>
            </w:tblPr>
            <w:tblGrid>
              <w:gridCol w:w="1964"/>
              <w:gridCol w:w="1486"/>
              <w:gridCol w:w="1310"/>
              <w:gridCol w:w="1229"/>
              <w:gridCol w:w="1203"/>
              <w:gridCol w:w="1203"/>
              <w:gridCol w:w="1203"/>
              <w:gridCol w:w="1203"/>
              <w:gridCol w:w="1134"/>
              <w:gridCol w:w="1134"/>
              <w:gridCol w:w="1193"/>
              <w:gridCol w:w="1187"/>
            </w:tblGrid>
            <w:tr w:rsidR="008A3A88" w:rsidRPr="008A3A88" w14:paraId="01F6B08E" w14:textId="77777777" w:rsidTr="008A3A88">
              <w:trPr>
                <w:trHeight w:val="791"/>
              </w:trPr>
              <w:tc>
                <w:tcPr>
                  <w:tcW w:w="19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6EC7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ind w:left="75" w:hanging="7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 P I S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B46C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Ukupne obveze na dan 31.12.2024.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6680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Ukupno dospjele obveze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1AF6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do 60 dana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3F57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61 do 90 dana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C9C4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91 do 120 dana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4965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121 do 150 dana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88E1E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151 do 180 dana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E067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181 do 365 dana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C11D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od 366 do 730 dana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F25984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Dospjele obveze preko 730 dana</w:t>
                  </w:r>
                </w:p>
              </w:tc>
              <w:tc>
                <w:tcPr>
                  <w:tcW w:w="118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F016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Koliko dana kasni najstarija dospjela obveza (u danima)</w:t>
                  </w:r>
                </w:p>
              </w:tc>
            </w:tr>
            <w:tr w:rsidR="008A3A88" w:rsidRPr="008A3A88" w14:paraId="73ECB270" w14:textId="77777777" w:rsidTr="008A3A88">
              <w:trPr>
                <w:trHeight w:val="213"/>
              </w:trPr>
              <w:tc>
                <w:tcPr>
                  <w:tcW w:w="19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FF80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AE01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4928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5FE5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C0DE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E21C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326E0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B3551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316D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721FE94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54B5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74C7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8A3A88" w:rsidRPr="008A3A88" w14:paraId="10C9E297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66AC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lijekove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BBF48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3.564,26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A1499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1.473,88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902E3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1.473,88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490AE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35335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FF532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5714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8A66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9407C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FAE85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AEED1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8A3A88" w:rsidRPr="008A3A88" w14:paraId="5E4DF1F4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6663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sanitetski materijal, krvi i krvne derivate i sl.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8D128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4.255,40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0C426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1.082,59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5CF55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1.082,59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3DB93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F84BC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80CDD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6681B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89EDB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7168D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CFAE0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54765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8A3A88" w:rsidRPr="008A3A88" w14:paraId="0D265D8A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47F68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živežne namirnice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C89D0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30.471,88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3D4AF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3.467,95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70F63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3.467,95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A3513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6F504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8389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50EA6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3D459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A27E7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DAEE0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E9747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8A3A88" w:rsidRPr="008A3A88" w14:paraId="38D13789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F3C4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energiju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18D5D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76.716,91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CFCB8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C0E09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74470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D50F3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B6662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791CE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5617F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E14C7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3F823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3640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8A3A88" w:rsidRPr="008A3A88" w14:paraId="147B69EE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C584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ostale materijale i reprodukcijski  materijal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E2E5D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40.017,27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9871B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12.583,59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4EBEE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12.513,21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FDE2A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57,38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D18D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DF4A8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3ABCA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64924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4BD94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DB307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DF1D8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8A3A88" w:rsidRPr="008A3A88" w14:paraId="2A71D221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B8C4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proizvodne i neproizvodne usluge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6252B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118.431,19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0B3FA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27.968,23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9573A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27.968,23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81EDC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8B188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37A4F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16A7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1ED21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6E9B4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48451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9064A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8A3A88" w:rsidRPr="008A3A88" w14:paraId="2B4B0C6C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6FAB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opremu (osnovna sredstva)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1CA68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104.627,94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2C77E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92.010,44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00DF5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20.437,13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84E13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C03E2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1CB20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E6DDA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D16BF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26B91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979E9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71.573,31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AAFA2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1.592</w:t>
                  </w:r>
                </w:p>
              </w:tc>
            </w:tr>
            <w:tr w:rsidR="008A3A88" w:rsidRPr="008A3A88" w14:paraId="0207BD5C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860C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Obveze prema zaposlenicima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1682F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412.025,02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AA5C1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469,08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9C114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469,08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4FEE1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6CE62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C565A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DA174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BAF30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0B1CC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5BDD1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3D197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8A3A88" w:rsidRPr="008A3A88" w14:paraId="2F64D97E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829F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Obveze za usluge drugih zdravstvenih ustanova                                   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6DF33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4.404,65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1989A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2.768,36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1EC3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2.768,36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8F9DE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A84E1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C8157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ECDCB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DC017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3119C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B6FF8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67B4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</w:tr>
            <w:tr w:rsidR="008A3A88" w:rsidRPr="008A3A88" w14:paraId="32FCA615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88A5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Obveze prema </w:t>
                  </w:r>
                  <w:proofErr w:type="spellStart"/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komitentnim</w:t>
                  </w:r>
                  <w:proofErr w:type="spellEnd"/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bankama za kredite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DF339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2.477.492,47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CA425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5F65A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CADEE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D52E4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5D8A7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9629A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C8185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5AE8C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A0B0A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A4A28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8A3A88" w:rsidRPr="008A3A88" w14:paraId="05A70865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C499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Ostale nespomenute obveze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1F4CFE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20.236,94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D975C8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5.927,24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88346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5.927,24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F167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1E35F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0910E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B704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6E0F6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51DF8D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F9E4B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C8E93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8A3A88" w:rsidRPr="008A3A88" w14:paraId="2019720C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F9CD60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Obveze prema HZZO za manje izvršen rad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5148CF0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3B9383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1597037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5D6D0E99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3BD5F50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1A25C12C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35706E3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35419E95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316D891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52319584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5341D87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8A3A88" w:rsidRPr="008A3A88" w14:paraId="4B0D502D" w14:textId="77777777" w:rsidTr="008A3A88">
              <w:trPr>
                <w:trHeight w:val="324"/>
              </w:trPr>
              <w:tc>
                <w:tcPr>
                  <w:tcW w:w="19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8E7AA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UKUPNO:</w:t>
                  </w:r>
                </w:p>
              </w:tc>
              <w:tc>
                <w:tcPr>
                  <w:tcW w:w="14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1C2C2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3.292.243,93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D7251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147.751,36</w:t>
                  </w:r>
                </w:p>
              </w:tc>
              <w:tc>
                <w:tcPr>
                  <w:tcW w:w="12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B5E6E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76.107,67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67EAB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57,38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A403D6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33F9AB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FDCF32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025BDF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13,00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8B686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304081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71.573,31</w:t>
                  </w:r>
                </w:p>
              </w:tc>
              <w:tc>
                <w:tcPr>
                  <w:tcW w:w="11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278B07" w14:textId="77777777" w:rsidR="008A3A88" w:rsidRPr="008A3A88" w:rsidRDefault="008A3A88" w:rsidP="008A3A88">
                  <w:pPr>
                    <w:framePr w:hSpace="180" w:wrap="around" w:vAnchor="page" w:hAnchor="page" w:x="1" w:y="1786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A3A8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1.592</w:t>
                  </w:r>
                </w:p>
              </w:tc>
            </w:tr>
          </w:tbl>
          <w:p w14:paraId="58C9B6DF" w14:textId="77777777" w:rsidR="008A3A88" w:rsidRPr="0070339E" w:rsidRDefault="008A3A88" w:rsidP="008A3A88">
            <w:pPr>
              <w:spacing w:after="0" w:line="240" w:lineRule="auto"/>
              <w:ind w:right="4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971C3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E1D22" w14:textId="77777777" w:rsidR="008A3A88" w:rsidRPr="0070339E" w:rsidRDefault="008A3A88" w:rsidP="008A3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06C49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6D235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231B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E935C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7EE04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2CEC5" w14:textId="77777777" w:rsidR="008A3A88" w:rsidRPr="0070339E" w:rsidRDefault="008A3A88" w:rsidP="008A3A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321B3" w14:textId="77777777" w:rsidR="008A3A88" w:rsidRPr="0070339E" w:rsidRDefault="008A3A88" w:rsidP="008A3A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0AA77" w14:textId="77777777" w:rsidR="008A3A88" w:rsidRPr="0070339E" w:rsidRDefault="008A3A88" w:rsidP="008A3A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CF06D0" w14:textId="4A14EF71" w:rsidR="008A3A88" w:rsidRPr="008A3A88" w:rsidRDefault="008A3A88" w:rsidP="008A3A88">
      <w:pPr>
        <w:rPr>
          <w:rFonts w:ascii="Times New Roman" w:hAnsi="Times New Roman"/>
          <w:sz w:val="18"/>
          <w:szCs w:val="24"/>
        </w:rPr>
        <w:sectPr w:rsidR="008A3A88" w:rsidRPr="008A3A88" w:rsidSect="00594370">
          <w:pgSz w:w="16838" w:h="11906" w:orient="landscape"/>
          <w:pgMar w:top="993" w:right="1418" w:bottom="1418" w:left="1134" w:header="709" w:footer="709" w:gutter="0"/>
          <w:pgNumType w:start="0"/>
          <w:cols w:space="708"/>
          <w:titlePg/>
          <w:docGrid w:linePitch="360"/>
        </w:sectPr>
      </w:pPr>
    </w:p>
    <w:p w14:paraId="0DFF7C92" w14:textId="77777777" w:rsidR="008A3A88" w:rsidRDefault="008A3A88" w:rsidP="008A3A88"/>
    <w:p w14:paraId="50B3F0E3" w14:textId="6CEB58B1" w:rsidR="00B06494" w:rsidRPr="0046426E" w:rsidRDefault="00B06494" w:rsidP="0046426E">
      <w:pPr>
        <w:pStyle w:val="Bezproreda"/>
        <w:ind w:firstLine="142"/>
        <w:jc w:val="both"/>
        <w:rPr>
          <w:b/>
        </w:rPr>
      </w:pPr>
      <w:r w:rsidRPr="0046426E">
        <w:t xml:space="preserve">Obveze bilježe </w:t>
      </w:r>
      <w:r w:rsidR="00AA68DA">
        <w:t>smanjenje</w:t>
      </w:r>
      <w:r w:rsidRPr="0046426E">
        <w:t xml:space="preserve"> </w:t>
      </w:r>
      <w:r w:rsidR="001B13D8">
        <w:t xml:space="preserve">u odnosu na prijašnje godine </w:t>
      </w:r>
      <w:r w:rsidRPr="0046426E">
        <w:t xml:space="preserve">zbog </w:t>
      </w:r>
      <w:r w:rsidR="00AA68DA">
        <w:t xml:space="preserve">otplate anuiteta i kamata </w:t>
      </w:r>
      <w:r w:rsidRPr="0046426E">
        <w:t>dugoročnog kredita Zagrebačke banke Ugovor br. 325232484 i Dodatak br. 1, u iznosu 28.000.000 kn</w:t>
      </w:r>
      <w:r w:rsidR="00AA68DA">
        <w:t xml:space="preserve"> (3.716.238,64 EUR)</w:t>
      </w:r>
      <w:r w:rsidRPr="0046426E">
        <w:t xml:space="preserve"> za investiciju Naftalan 2 s unutarnjim i vanjskim bazenima.</w:t>
      </w:r>
      <w:r w:rsidR="00167611">
        <w:t xml:space="preserve"> Na 31.12.202</w:t>
      </w:r>
      <w:r w:rsidR="009842CC">
        <w:t>3</w:t>
      </w:r>
      <w:r w:rsidR="00167611">
        <w:t xml:space="preserve">. Obveze za kredite iznose </w:t>
      </w:r>
      <w:r w:rsidR="000D4BCD">
        <w:t>2.477.492,47</w:t>
      </w:r>
      <w:r w:rsidR="009842CC">
        <w:t xml:space="preserve"> EUR</w:t>
      </w:r>
      <w:r w:rsidR="00167611">
        <w:t>.</w:t>
      </w:r>
    </w:p>
    <w:p w14:paraId="2F75068F" w14:textId="77777777" w:rsidR="000105F9" w:rsidRDefault="000105F9" w:rsidP="00B06494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34F4EE64" w14:textId="77777777" w:rsidR="00B06494" w:rsidRPr="00E703FB" w:rsidRDefault="00B06494" w:rsidP="00B06494">
      <w:pPr>
        <w:tabs>
          <w:tab w:val="left" w:pos="31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3536"/>
        <w:gridCol w:w="1476"/>
        <w:gridCol w:w="1308"/>
        <w:gridCol w:w="1516"/>
      </w:tblGrid>
      <w:tr w:rsidR="00B06494" w:rsidRPr="00E703FB" w14:paraId="47B3E157" w14:textId="77777777" w:rsidTr="00C15D45">
        <w:trPr>
          <w:trHeight w:val="251"/>
          <w:jc w:val="center"/>
        </w:trPr>
        <w:tc>
          <w:tcPr>
            <w:tcW w:w="1096" w:type="dxa"/>
          </w:tcPr>
          <w:p w14:paraId="336A48B9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B">
              <w:rPr>
                <w:rFonts w:ascii="Times New Roman" w:hAnsi="Times New Roman"/>
                <w:b/>
                <w:sz w:val="24"/>
                <w:szCs w:val="24"/>
              </w:rPr>
              <w:t>RB.BR.</w:t>
            </w:r>
          </w:p>
        </w:tc>
        <w:tc>
          <w:tcPr>
            <w:tcW w:w="3536" w:type="dxa"/>
          </w:tcPr>
          <w:p w14:paraId="0F74A53F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FB">
              <w:rPr>
                <w:rFonts w:ascii="Times New Roman" w:hAnsi="Times New Roman"/>
                <w:b/>
                <w:sz w:val="24"/>
                <w:szCs w:val="24"/>
              </w:rPr>
              <w:t>OBVEZE NA DAN</w:t>
            </w:r>
          </w:p>
        </w:tc>
        <w:tc>
          <w:tcPr>
            <w:tcW w:w="1296" w:type="dxa"/>
          </w:tcPr>
          <w:p w14:paraId="08F412AB" w14:textId="751F03CB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UKUPNE OBVEZE</w:t>
            </w:r>
            <w:r w:rsidR="009842CC">
              <w:rPr>
                <w:rFonts w:ascii="Times New Roman" w:hAnsi="Times New Roman"/>
                <w:b/>
                <w:sz w:val="20"/>
                <w:szCs w:val="20"/>
              </w:rPr>
              <w:t xml:space="preserve"> (u EUR)</w:t>
            </w:r>
          </w:p>
        </w:tc>
        <w:tc>
          <w:tcPr>
            <w:tcW w:w="1308" w:type="dxa"/>
          </w:tcPr>
          <w:p w14:paraId="167CE71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UKUPNO</w:t>
            </w:r>
          </w:p>
          <w:p w14:paraId="50BB17D4" w14:textId="0BB46D45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DOSPJELE OBVEZE</w:t>
            </w:r>
            <w:r w:rsidR="009842CC">
              <w:rPr>
                <w:rFonts w:ascii="Times New Roman" w:hAnsi="Times New Roman"/>
                <w:b/>
                <w:sz w:val="20"/>
                <w:szCs w:val="20"/>
              </w:rPr>
              <w:t xml:space="preserve"> ( u EUR)</w:t>
            </w:r>
          </w:p>
        </w:tc>
        <w:tc>
          <w:tcPr>
            <w:tcW w:w="1516" w:type="dxa"/>
          </w:tcPr>
          <w:p w14:paraId="348E071E" w14:textId="256C3FDA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3FB">
              <w:rPr>
                <w:rFonts w:ascii="Times New Roman" w:hAnsi="Times New Roman"/>
                <w:b/>
                <w:sz w:val="20"/>
                <w:szCs w:val="20"/>
              </w:rPr>
              <w:t>DOSPJELE OBVEZE PREKO 60 DANA</w:t>
            </w:r>
            <w:r w:rsidR="009842CC">
              <w:rPr>
                <w:rFonts w:ascii="Times New Roman" w:hAnsi="Times New Roman"/>
                <w:b/>
                <w:sz w:val="20"/>
                <w:szCs w:val="20"/>
              </w:rPr>
              <w:t xml:space="preserve"> ( u EUR)</w:t>
            </w:r>
          </w:p>
        </w:tc>
      </w:tr>
      <w:tr w:rsidR="00B06494" w:rsidRPr="00E703FB" w14:paraId="39BEA5A0" w14:textId="77777777" w:rsidTr="00C15D45">
        <w:trPr>
          <w:jc w:val="center"/>
        </w:trPr>
        <w:tc>
          <w:tcPr>
            <w:tcW w:w="1096" w:type="dxa"/>
          </w:tcPr>
          <w:p w14:paraId="6EC9FB42" w14:textId="1CCC8906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6494"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55B90CF5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31.12.2017.</w:t>
            </w:r>
          </w:p>
        </w:tc>
        <w:tc>
          <w:tcPr>
            <w:tcW w:w="1296" w:type="dxa"/>
            <w:vAlign w:val="bottom"/>
          </w:tcPr>
          <w:p w14:paraId="3733081E" w14:textId="0AE95CAE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62.712,59</w:t>
            </w:r>
          </w:p>
        </w:tc>
        <w:tc>
          <w:tcPr>
            <w:tcW w:w="1308" w:type="dxa"/>
          </w:tcPr>
          <w:p w14:paraId="3BCB3D11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7EF28AA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426AF732" w14:textId="77777777" w:rsidTr="00C15D45">
        <w:trPr>
          <w:jc w:val="center"/>
        </w:trPr>
        <w:tc>
          <w:tcPr>
            <w:tcW w:w="1096" w:type="dxa"/>
          </w:tcPr>
          <w:p w14:paraId="61E4CD5B" w14:textId="49E4F50E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6494"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21A6FAEC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31.12.2018.</w:t>
            </w:r>
          </w:p>
        </w:tc>
        <w:tc>
          <w:tcPr>
            <w:tcW w:w="1296" w:type="dxa"/>
            <w:vAlign w:val="bottom"/>
          </w:tcPr>
          <w:p w14:paraId="1DF4E190" w14:textId="700D5587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2.598.879,16</w:t>
            </w:r>
          </w:p>
        </w:tc>
        <w:tc>
          <w:tcPr>
            <w:tcW w:w="1308" w:type="dxa"/>
          </w:tcPr>
          <w:p w14:paraId="567E2322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4016B6A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5287C395" w14:textId="77777777" w:rsidTr="00C15D45">
        <w:trPr>
          <w:jc w:val="center"/>
        </w:trPr>
        <w:tc>
          <w:tcPr>
            <w:tcW w:w="1096" w:type="dxa"/>
          </w:tcPr>
          <w:p w14:paraId="1C9A05AB" w14:textId="00241D4B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6494"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5BD8360E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31.12.2019.</w:t>
            </w:r>
          </w:p>
        </w:tc>
        <w:tc>
          <w:tcPr>
            <w:tcW w:w="1296" w:type="dxa"/>
            <w:vAlign w:val="bottom"/>
          </w:tcPr>
          <w:p w14:paraId="109E9520" w14:textId="08E0065D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4.779.196,63</w:t>
            </w:r>
          </w:p>
        </w:tc>
        <w:tc>
          <w:tcPr>
            <w:tcW w:w="1308" w:type="dxa"/>
          </w:tcPr>
          <w:p w14:paraId="2ECB9E87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548D79D5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494" w:rsidRPr="00E703FB" w14:paraId="7A9B8B18" w14:textId="77777777" w:rsidTr="00C15D45">
        <w:trPr>
          <w:jc w:val="center"/>
        </w:trPr>
        <w:tc>
          <w:tcPr>
            <w:tcW w:w="1096" w:type="dxa"/>
          </w:tcPr>
          <w:p w14:paraId="3D6717DA" w14:textId="65EBA629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494" w:rsidRPr="00E703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370ACF2D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FB">
              <w:rPr>
                <w:rFonts w:ascii="Times New Roman" w:hAnsi="Times New Roman"/>
                <w:sz w:val="24"/>
                <w:szCs w:val="24"/>
              </w:rPr>
              <w:t>31.12.2020.</w:t>
            </w:r>
          </w:p>
        </w:tc>
        <w:tc>
          <w:tcPr>
            <w:tcW w:w="1296" w:type="dxa"/>
            <w:vAlign w:val="bottom"/>
          </w:tcPr>
          <w:p w14:paraId="34BAC80A" w14:textId="68EA4346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4.719.463,93</w:t>
            </w:r>
          </w:p>
        </w:tc>
        <w:tc>
          <w:tcPr>
            <w:tcW w:w="1308" w:type="dxa"/>
          </w:tcPr>
          <w:p w14:paraId="7C99078A" w14:textId="2862C296" w:rsidR="00B06494" w:rsidRPr="00E703FB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203.927,67</w:t>
            </w:r>
          </w:p>
        </w:tc>
        <w:tc>
          <w:tcPr>
            <w:tcW w:w="1516" w:type="dxa"/>
          </w:tcPr>
          <w:p w14:paraId="15C32628" w14:textId="2E029222" w:rsidR="00B06494" w:rsidRPr="00E703FB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203.927,67</w:t>
            </w:r>
          </w:p>
        </w:tc>
      </w:tr>
      <w:tr w:rsidR="00B06494" w:rsidRPr="00E703FB" w14:paraId="4B4EEE0A" w14:textId="77777777" w:rsidTr="00C15D45">
        <w:trPr>
          <w:jc w:val="center"/>
        </w:trPr>
        <w:tc>
          <w:tcPr>
            <w:tcW w:w="1096" w:type="dxa"/>
          </w:tcPr>
          <w:p w14:paraId="3C340B42" w14:textId="1D41C56C" w:rsidR="00B06494" w:rsidRPr="00E703FB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4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33A0C06A" w14:textId="77777777" w:rsidR="00B06494" w:rsidRPr="00E703FB" w:rsidRDefault="00B06494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31.12.2021.</w:t>
            </w:r>
          </w:p>
        </w:tc>
        <w:tc>
          <w:tcPr>
            <w:tcW w:w="1296" w:type="dxa"/>
            <w:vAlign w:val="bottom"/>
          </w:tcPr>
          <w:p w14:paraId="39026964" w14:textId="6943687E" w:rsidR="00B06494" w:rsidRPr="00E703FB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4.580.211,03</w:t>
            </w:r>
          </w:p>
        </w:tc>
        <w:tc>
          <w:tcPr>
            <w:tcW w:w="1308" w:type="dxa"/>
          </w:tcPr>
          <w:p w14:paraId="2C91F4BA" w14:textId="124BB80C" w:rsidR="00B06494" w:rsidRPr="00E703FB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295.494,99</w:t>
            </w:r>
          </w:p>
        </w:tc>
        <w:tc>
          <w:tcPr>
            <w:tcW w:w="1516" w:type="dxa"/>
          </w:tcPr>
          <w:p w14:paraId="76663D69" w14:textId="3C80AB22" w:rsidR="00B06494" w:rsidRPr="00E703FB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126.562,61</w:t>
            </w:r>
          </w:p>
        </w:tc>
      </w:tr>
      <w:tr w:rsidR="00E828A9" w:rsidRPr="00E703FB" w14:paraId="4BEE9A2F" w14:textId="77777777" w:rsidTr="00C15D45">
        <w:trPr>
          <w:jc w:val="center"/>
        </w:trPr>
        <w:tc>
          <w:tcPr>
            <w:tcW w:w="1096" w:type="dxa"/>
          </w:tcPr>
          <w:p w14:paraId="3320612B" w14:textId="44C1CB30" w:rsidR="00E828A9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82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14:paraId="7C3C7A4C" w14:textId="0534A21E" w:rsidR="00E828A9" w:rsidRDefault="00E828A9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31.12.2022.</w:t>
            </w:r>
          </w:p>
        </w:tc>
        <w:tc>
          <w:tcPr>
            <w:tcW w:w="1296" w:type="dxa"/>
            <w:vAlign w:val="bottom"/>
          </w:tcPr>
          <w:p w14:paraId="372CA0FC" w14:textId="090B11D8" w:rsidR="00E828A9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3.935.300,68</w:t>
            </w:r>
          </w:p>
        </w:tc>
        <w:tc>
          <w:tcPr>
            <w:tcW w:w="1308" w:type="dxa"/>
          </w:tcPr>
          <w:p w14:paraId="4628A243" w14:textId="0793A128" w:rsidR="00E828A9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170.871,33</w:t>
            </w:r>
          </w:p>
        </w:tc>
        <w:tc>
          <w:tcPr>
            <w:tcW w:w="1516" w:type="dxa"/>
          </w:tcPr>
          <w:p w14:paraId="1FE5BF74" w14:textId="235E24D8" w:rsidR="00E828A9" w:rsidRDefault="00AA68DA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72.585,31</w:t>
            </w:r>
          </w:p>
        </w:tc>
      </w:tr>
      <w:tr w:rsidR="009842CC" w:rsidRPr="00E703FB" w14:paraId="51BECCF6" w14:textId="77777777" w:rsidTr="00C15D45">
        <w:trPr>
          <w:jc w:val="center"/>
        </w:trPr>
        <w:tc>
          <w:tcPr>
            <w:tcW w:w="1096" w:type="dxa"/>
          </w:tcPr>
          <w:p w14:paraId="314F3ADA" w14:textId="6FC68EED" w:rsidR="009842CC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36" w:type="dxa"/>
          </w:tcPr>
          <w:p w14:paraId="47917B63" w14:textId="24C03D6C" w:rsidR="009842CC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31.12.2023.</w:t>
            </w:r>
          </w:p>
        </w:tc>
        <w:tc>
          <w:tcPr>
            <w:tcW w:w="1296" w:type="dxa"/>
            <w:vAlign w:val="bottom"/>
          </w:tcPr>
          <w:p w14:paraId="333755AA" w14:textId="1AFF69A2" w:rsidR="009842CC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3.643.889,44</w:t>
            </w:r>
          </w:p>
        </w:tc>
        <w:tc>
          <w:tcPr>
            <w:tcW w:w="1308" w:type="dxa"/>
          </w:tcPr>
          <w:p w14:paraId="6CDE2648" w14:textId="67321E19" w:rsidR="009842CC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206.113,59</w:t>
            </w:r>
          </w:p>
        </w:tc>
        <w:tc>
          <w:tcPr>
            <w:tcW w:w="1516" w:type="dxa"/>
          </w:tcPr>
          <w:p w14:paraId="216F9BF5" w14:textId="10C00416" w:rsidR="009842CC" w:rsidRDefault="009842CC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102.676,20</w:t>
            </w:r>
          </w:p>
        </w:tc>
      </w:tr>
      <w:tr w:rsidR="000D4BCD" w:rsidRPr="00E703FB" w14:paraId="2D8A0E5A" w14:textId="77777777" w:rsidTr="00C15D45">
        <w:trPr>
          <w:jc w:val="center"/>
        </w:trPr>
        <w:tc>
          <w:tcPr>
            <w:tcW w:w="1096" w:type="dxa"/>
          </w:tcPr>
          <w:p w14:paraId="24CB8916" w14:textId="79DBB057" w:rsidR="000D4BCD" w:rsidRDefault="000D4BCD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36" w:type="dxa"/>
          </w:tcPr>
          <w:p w14:paraId="2F56DFD1" w14:textId="311D74FE" w:rsidR="000D4BCD" w:rsidRDefault="000D4BCD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31.12.2024.</w:t>
            </w:r>
          </w:p>
        </w:tc>
        <w:tc>
          <w:tcPr>
            <w:tcW w:w="1296" w:type="dxa"/>
            <w:vAlign w:val="bottom"/>
          </w:tcPr>
          <w:p w14:paraId="32D53210" w14:textId="5FFC254D" w:rsidR="000D4BCD" w:rsidRDefault="000D4BCD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3.292.243,93</w:t>
            </w:r>
          </w:p>
        </w:tc>
        <w:tc>
          <w:tcPr>
            <w:tcW w:w="1308" w:type="dxa"/>
          </w:tcPr>
          <w:p w14:paraId="37EE612F" w14:textId="41A42768" w:rsidR="000D4BCD" w:rsidRDefault="000D4BCD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147.751,36</w:t>
            </w:r>
          </w:p>
        </w:tc>
        <w:tc>
          <w:tcPr>
            <w:tcW w:w="1516" w:type="dxa"/>
          </w:tcPr>
          <w:p w14:paraId="4F132BF4" w14:textId="0C26F37F" w:rsidR="000D4BCD" w:rsidRDefault="000D4BCD" w:rsidP="00C15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76.107,67</w:t>
            </w:r>
          </w:p>
        </w:tc>
      </w:tr>
    </w:tbl>
    <w:p w14:paraId="11FF40BE" w14:textId="086B2FF2" w:rsidR="00B06494" w:rsidRPr="00B06494" w:rsidRDefault="00B06494" w:rsidP="00B06494">
      <w:pPr>
        <w:tabs>
          <w:tab w:val="left" w:pos="1035"/>
        </w:tabs>
        <w:sectPr w:rsidR="00B06494" w:rsidRPr="00B06494" w:rsidSect="008A3A88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6B4C1BE2" w14:textId="46E5A558" w:rsidR="00EA2E3B" w:rsidRDefault="00EA2E3B" w:rsidP="00FF19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680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POTRAŽIVANJA</w:t>
      </w:r>
    </w:p>
    <w:p w14:paraId="7304FCE7" w14:textId="77777777" w:rsidR="000105F9" w:rsidRPr="003B680B" w:rsidRDefault="000105F9" w:rsidP="00FF19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DDBB72" w14:textId="5C6CC646" w:rsidR="00E828A9" w:rsidRDefault="00E828A9" w:rsidP="000105F9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p w14:paraId="53FF5EAB" w14:textId="77777777" w:rsidR="00E828A9" w:rsidRPr="00FC1EF5" w:rsidRDefault="00E828A9" w:rsidP="000105F9">
      <w:pPr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</w:p>
    <w:tbl>
      <w:tblPr>
        <w:tblW w:w="15079" w:type="dxa"/>
        <w:tblInd w:w="-431" w:type="dxa"/>
        <w:tblLook w:val="04A0" w:firstRow="1" w:lastRow="0" w:firstColumn="1" w:lastColumn="0" w:noHBand="0" w:noVBand="1"/>
      </w:tblPr>
      <w:tblGrid>
        <w:gridCol w:w="2915"/>
        <w:gridCol w:w="1307"/>
        <w:gridCol w:w="1297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296"/>
      </w:tblGrid>
      <w:tr w:rsidR="00AA68DA" w:rsidRPr="00AA68DA" w14:paraId="78EC671B" w14:textId="77777777" w:rsidTr="00AA68DA">
        <w:trPr>
          <w:trHeight w:val="101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7027" w14:textId="77777777" w:rsidR="00AA68DA" w:rsidRPr="00AA68DA" w:rsidRDefault="00AA68DA" w:rsidP="00AA68DA">
            <w:pPr>
              <w:spacing w:after="0" w:line="240" w:lineRule="auto"/>
              <w:ind w:hanging="11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 P I S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51D3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Potraživanja na dan 31.12.2023.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D456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 dospjela potraživanja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A210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do 60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09D8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61 do 90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8A1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91 do 120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510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121 do 150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915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151 do 180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EE2E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181 do 365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335B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od 366 do 730 dana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D8F7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Dospjelo preko 730 dana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4A54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Koliko dana kasni najstarije dospjelo potraživanje (u danima)</w:t>
            </w:r>
          </w:p>
        </w:tc>
      </w:tr>
      <w:tr w:rsidR="00AA68DA" w:rsidRPr="00AA68DA" w14:paraId="1AF46016" w14:textId="77777777" w:rsidTr="00AA68DA">
        <w:trPr>
          <w:trHeight w:val="333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7AE9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F91C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976B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B19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BC8A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C548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6279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DF5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3F8A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5B50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DF28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EC3A" w14:textId="77777777" w:rsidR="00AA68DA" w:rsidRPr="00AA68DA" w:rsidRDefault="00AA68DA" w:rsidP="00AA68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AA68DA" w:rsidRPr="00AA68DA" w14:paraId="656D86D7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6FEDD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Potraživanja od HZZO-a na osnovi pružanja zdravstvene zaštite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3A15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CEA47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9DE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874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78E5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DBAF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910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AC30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5D7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88A1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5FA1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A68DA" w:rsidRPr="00AA68DA" w14:paraId="43619694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E0C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Potraživanja od HZZO-a temeljem ugovora za usluge pružene izvan ugovorenog limita*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7FF1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6.726,26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17FE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4423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DCE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D92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0A6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E07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2746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6D70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F46B0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C873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A68DA" w:rsidRPr="00AA68DA" w14:paraId="3D2FE57C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8B7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Potraživanja od dopunskog zdravstvenog osiguranja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92E6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46.378,11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4260B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5F71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5E2C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9BF2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6436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488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45E0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6C42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D733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9459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A68DA" w:rsidRPr="00AA68DA" w14:paraId="0319D7A3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A700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 xml:space="preserve">Potraživanja na osnovi ozljeda na radu i profesionalne bolesti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AACD9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490,87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F8CB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562C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81F7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AD279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3B7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C6A1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2E122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BC9B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4579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11185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A68DA" w:rsidRPr="00AA68DA" w14:paraId="0551C9BC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24429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Potraživanja od drugih zdravstvenih ustanova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D985C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13.821,98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EC7F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8D4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B4E5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EA8B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AC445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4284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8550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3338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0A70F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5E1BC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A68DA" w:rsidRPr="00AA68DA" w14:paraId="41140199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4DC02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Ostala potraživanja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00BC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118.041,07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F520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5.158,96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BBBE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2.589,42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C5040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235,63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F7421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163,47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6D766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305,01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53D9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290,47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85F9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1.245,85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68A3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318,03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247C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11,08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78C6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color w:val="000000"/>
                <w:sz w:val="18"/>
                <w:szCs w:val="18"/>
              </w:rPr>
              <w:t>1.880</w:t>
            </w:r>
          </w:p>
        </w:tc>
      </w:tr>
      <w:tr w:rsidR="00AA68DA" w:rsidRPr="00AA68DA" w14:paraId="29053F9A" w14:textId="77777777" w:rsidTr="00AA68DA">
        <w:trPr>
          <w:trHeight w:val="595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10DE" w14:textId="77777777" w:rsidR="00AA68DA" w:rsidRPr="00AA68DA" w:rsidRDefault="00AA68DA" w:rsidP="00AA68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D6A9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185.458,29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EC35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5.158,96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8CCA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2.589,42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EB90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235,63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C669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06E7B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305,01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3156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290,47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0831D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1.245,85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C555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0087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3327" w14:textId="77777777" w:rsidR="00AA68DA" w:rsidRPr="00AA68DA" w:rsidRDefault="00AA68DA" w:rsidP="00AA68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8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1.880</w:t>
            </w:r>
          </w:p>
        </w:tc>
      </w:tr>
    </w:tbl>
    <w:p w14:paraId="62865467" w14:textId="77777777" w:rsidR="00DD3444" w:rsidRDefault="00DD3444" w:rsidP="00DD34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C72C59" w14:textId="77777777" w:rsidR="00E828A9" w:rsidRDefault="00E828A9" w:rsidP="000105F9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14:paraId="5B17AB20" w14:textId="77777777" w:rsidR="000105F9" w:rsidRDefault="000105F9" w:rsidP="000105F9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14:paraId="47D2BCCF" w14:textId="77777777" w:rsidR="000105F9" w:rsidRDefault="000105F9" w:rsidP="00DD344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F4572CB" w14:textId="7AA21C6D" w:rsidR="000105F9" w:rsidRPr="000105F9" w:rsidRDefault="000105F9" w:rsidP="000105F9">
      <w:pPr>
        <w:rPr>
          <w:rFonts w:ascii="Times New Roman" w:hAnsi="Times New Roman"/>
          <w:sz w:val="20"/>
          <w:szCs w:val="20"/>
        </w:rPr>
        <w:sectPr w:rsidR="000105F9" w:rsidRPr="000105F9" w:rsidSect="000D4BCD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7671"/>
        <w:tblW w:w="13249" w:type="dxa"/>
        <w:tblLook w:val="04A0" w:firstRow="1" w:lastRow="0" w:firstColumn="1" w:lastColumn="0" w:noHBand="0" w:noVBand="1"/>
      </w:tblPr>
      <w:tblGrid>
        <w:gridCol w:w="10206"/>
        <w:gridCol w:w="1691"/>
        <w:gridCol w:w="1352"/>
      </w:tblGrid>
      <w:tr w:rsidR="000105F9" w:rsidRPr="0070339E" w14:paraId="5142CA97" w14:textId="77777777" w:rsidTr="00E828A9">
        <w:trPr>
          <w:trHeight w:val="372"/>
        </w:trPr>
        <w:tc>
          <w:tcPr>
            <w:tcW w:w="13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F31B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4B1DD23E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6B027426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5E392ED" w14:textId="77777777" w:rsidR="00216E7D" w:rsidRDefault="00216E7D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0B1C8EB" w14:textId="582EC90B" w:rsidR="000105F9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BROJ RADNIKA</w:t>
            </w:r>
          </w:p>
          <w:p w14:paraId="3F75923F" w14:textId="77777777" w:rsidR="000105F9" w:rsidRPr="00DC6461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C78618B" w14:textId="233F1F5C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05F9" w:rsidRPr="0070339E" w14:paraId="10150F2E" w14:textId="77777777" w:rsidTr="00E828A9">
        <w:trPr>
          <w:trHeight w:val="372"/>
        </w:trPr>
        <w:tc>
          <w:tcPr>
            <w:tcW w:w="132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8805" w:type="dxa"/>
              <w:tblLook w:val="04A0" w:firstRow="1" w:lastRow="0" w:firstColumn="1" w:lastColumn="0" w:noHBand="0" w:noVBand="1"/>
            </w:tblPr>
            <w:tblGrid>
              <w:gridCol w:w="692"/>
              <w:gridCol w:w="4123"/>
              <w:gridCol w:w="2004"/>
              <w:gridCol w:w="1986"/>
            </w:tblGrid>
            <w:tr w:rsidR="000D4BCD" w:rsidRPr="000D4BCD" w14:paraId="027FBA93" w14:textId="77777777" w:rsidTr="000D4BCD">
              <w:trPr>
                <w:trHeight w:val="722"/>
              </w:trPr>
              <w:tc>
                <w:tcPr>
                  <w:tcW w:w="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029DE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Red. br.</w:t>
                  </w:r>
                </w:p>
              </w:tc>
              <w:tc>
                <w:tcPr>
                  <w:tcW w:w="41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2D63B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O P I S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17233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I. - XII. 2023.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6BD0F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I. - XII. 2024.</w:t>
                  </w:r>
                </w:p>
              </w:tc>
            </w:tr>
            <w:tr w:rsidR="000D4BCD" w:rsidRPr="000D4BCD" w14:paraId="6C09F409" w14:textId="77777777" w:rsidTr="000D4BCD">
              <w:trPr>
                <w:trHeight w:val="687"/>
              </w:trPr>
              <w:tc>
                <w:tcPr>
                  <w:tcW w:w="6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55B56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4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DEC74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Broj zaposlenika na početku razdoblja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4F26F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146,00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5736D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158,00</w:t>
                  </w:r>
                </w:p>
              </w:tc>
            </w:tr>
            <w:tr w:rsidR="000D4BCD" w:rsidRPr="000D4BCD" w14:paraId="1D7F9E18" w14:textId="77777777" w:rsidTr="000D4BCD">
              <w:trPr>
                <w:trHeight w:val="710"/>
              </w:trPr>
              <w:tc>
                <w:tcPr>
                  <w:tcW w:w="6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E3FC7F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4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5A7E76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Broj zaposlenika na kraju razdoblja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2450B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159,00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F781B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170,00</w:t>
                  </w:r>
                </w:p>
              </w:tc>
            </w:tr>
            <w:tr w:rsidR="000D4BCD" w:rsidRPr="000D4BCD" w14:paraId="4E745A2C" w14:textId="77777777" w:rsidTr="000D4BCD">
              <w:trPr>
                <w:trHeight w:val="744"/>
              </w:trPr>
              <w:tc>
                <w:tcPr>
                  <w:tcW w:w="6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0C2FA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4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4DCDF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Prosječan broj zaposlenika na osnovu ukalkuliranih sati rada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A07A3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115,00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3F3FF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153,00</w:t>
                  </w:r>
                </w:p>
              </w:tc>
            </w:tr>
          </w:tbl>
          <w:p w14:paraId="0A62EC6F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16E7D" w:rsidRPr="0070339E" w14:paraId="2BD3E026" w14:textId="77777777" w:rsidTr="00E828A9">
        <w:trPr>
          <w:trHeight w:val="6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1BAD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65A9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C581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26FC7554" w14:textId="77777777" w:rsidTr="00E828A9">
        <w:trPr>
          <w:trHeight w:val="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BCB9A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EA213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C5F2F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014213A4" w14:textId="77777777" w:rsidTr="00E828A9">
        <w:trPr>
          <w:trHeight w:val="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D688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339E">
              <w:rPr>
                <w:rFonts w:ascii="Times New Roman" w:hAnsi="Times New Roman"/>
                <w:sz w:val="20"/>
                <w:szCs w:val="20"/>
              </w:rPr>
              <w:t>Izvorište podataka: Kadrovska evidencija ustanove</w:t>
            </w:r>
          </w:p>
          <w:p w14:paraId="7F8BF007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842777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E1DE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A8C2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52BD207B" w14:textId="77777777" w:rsidTr="00E828A9">
        <w:trPr>
          <w:trHeight w:val="25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08CA1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F8231D" w14:textId="2E2314C5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F3A3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AB34B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74C5BD48" w14:textId="77777777" w:rsidTr="00E828A9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FF87" w14:textId="77777777" w:rsidR="000105F9" w:rsidRDefault="000105F9" w:rsidP="000105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C64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KRATKOROČNA IMOVINA</w:t>
            </w:r>
          </w:p>
          <w:p w14:paraId="14BEA6A7" w14:textId="77777777" w:rsidR="000105F9" w:rsidRPr="00DC6461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0C0884" w14:textId="47A2BFE6" w:rsidR="000105F9" w:rsidRPr="0070339E" w:rsidRDefault="000105F9" w:rsidP="00216E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A477" w14:textId="77777777" w:rsidR="000105F9" w:rsidRPr="0070339E" w:rsidRDefault="000105F9" w:rsidP="000105F9">
            <w:pPr>
              <w:spacing w:after="0" w:line="240" w:lineRule="auto"/>
              <w:ind w:left="-8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5473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0DD8786E" w14:textId="77777777" w:rsidTr="00E828A9">
        <w:trPr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B5696" w14:textId="77777777" w:rsidR="000105F9" w:rsidRPr="0070339E" w:rsidRDefault="000105F9" w:rsidP="00010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93D5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15F8" w14:textId="77777777" w:rsidR="000105F9" w:rsidRPr="0070339E" w:rsidRDefault="000105F9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34BB65A3" w14:textId="77777777" w:rsidTr="00E828A9">
        <w:trPr>
          <w:gridAfter w:val="2"/>
          <w:wAfter w:w="3043" w:type="dxa"/>
          <w:trHeight w:val="407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8868" w:type="dxa"/>
              <w:tblLook w:val="04A0" w:firstRow="1" w:lastRow="0" w:firstColumn="1" w:lastColumn="0" w:noHBand="0" w:noVBand="1"/>
            </w:tblPr>
            <w:tblGrid>
              <w:gridCol w:w="607"/>
              <w:gridCol w:w="6241"/>
              <w:gridCol w:w="2020"/>
            </w:tblGrid>
            <w:tr w:rsidR="000D4BCD" w:rsidRPr="000D4BCD" w14:paraId="10BA066C" w14:textId="77777777" w:rsidTr="000D4BCD">
              <w:trPr>
                <w:trHeight w:val="403"/>
              </w:trPr>
              <w:tc>
                <w:tcPr>
                  <w:tcW w:w="6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748A77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OPIS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0C4C8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IZNOS</w:t>
                  </w:r>
                </w:p>
              </w:tc>
            </w:tr>
            <w:tr w:rsidR="000D4BCD" w:rsidRPr="000D4BCD" w14:paraId="4A4343E1" w14:textId="77777777" w:rsidTr="000D4BCD">
              <w:trPr>
                <w:trHeight w:val="473"/>
              </w:trPr>
              <w:tc>
                <w:tcPr>
                  <w:tcW w:w="6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527F0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1. Stanje žiro-računa na dan</w:t>
                  </w:r>
                  <w:r w:rsidRPr="000D4BC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31.12.2024.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9FFB3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170.674,97</w:t>
                  </w:r>
                </w:p>
              </w:tc>
            </w:tr>
            <w:tr w:rsidR="000D4BCD" w:rsidRPr="000D4BCD" w14:paraId="0C2B1A7F" w14:textId="77777777" w:rsidTr="000D4BCD">
              <w:trPr>
                <w:trHeight w:val="488"/>
              </w:trPr>
              <w:tc>
                <w:tcPr>
                  <w:tcW w:w="68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FDE04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2. Zalihe na dan 31.12.2024.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4F9AC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  <w:tr w:rsidR="000D4BCD" w:rsidRPr="000D4BCD" w14:paraId="4A54E8BC" w14:textId="77777777" w:rsidTr="000D4BCD">
              <w:trPr>
                <w:trHeight w:val="322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439E6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6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E1C7F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- lijekova i potrošnog medicinskog materijala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81C5D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26.122,44</w:t>
                  </w:r>
                </w:p>
              </w:tc>
            </w:tr>
            <w:tr w:rsidR="000D4BCD" w:rsidRPr="000D4BCD" w14:paraId="0E7382DC" w14:textId="77777777" w:rsidTr="000D4BCD">
              <w:trPr>
                <w:trHeight w:val="322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1630B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6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1624E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- krvi i krvnih pripravaka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524D9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0,00</w:t>
                  </w:r>
                </w:p>
              </w:tc>
            </w:tr>
            <w:tr w:rsidR="000D4BCD" w:rsidRPr="000D4BCD" w14:paraId="42EDE449" w14:textId="77777777" w:rsidTr="000D4BCD">
              <w:trPr>
                <w:trHeight w:val="322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FE63A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6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FEA4D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- živežnih namirnica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C84C2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6.012,90</w:t>
                  </w:r>
                </w:p>
              </w:tc>
            </w:tr>
            <w:tr w:rsidR="000D4BCD" w:rsidRPr="000D4BCD" w14:paraId="23B59E63" w14:textId="77777777" w:rsidTr="000D4BCD">
              <w:trPr>
                <w:trHeight w:val="322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BAE3E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6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865AD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- ostale zalihe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A17FED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color w:val="000000"/>
                    </w:rPr>
                    <w:t>166.343,53</w:t>
                  </w:r>
                </w:p>
              </w:tc>
            </w:tr>
            <w:tr w:rsidR="000D4BCD" w:rsidRPr="000D4BCD" w14:paraId="114DC2A7" w14:textId="77777777" w:rsidTr="000D4BCD">
              <w:trPr>
                <w:trHeight w:val="322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9F60A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6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08858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UKUPNE ZALIHE: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B5FF9" w14:textId="77777777" w:rsidR="000D4BCD" w:rsidRPr="000D4BCD" w:rsidRDefault="000D4BCD" w:rsidP="000D4BCD">
                  <w:pPr>
                    <w:framePr w:hSpace="180" w:wrap="around" w:vAnchor="text" w:hAnchor="margin" w:y="-7671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0D4BCD">
                    <w:rPr>
                      <w:rFonts w:ascii="Arial" w:hAnsi="Arial" w:cs="Arial"/>
                      <w:b/>
                      <w:bCs/>
                      <w:color w:val="000000"/>
                    </w:rPr>
                    <w:t>198.478,87</w:t>
                  </w:r>
                </w:p>
              </w:tc>
            </w:tr>
          </w:tbl>
          <w:p w14:paraId="5A2E13D3" w14:textId="77777777" w:rsidR="00216E7D" w:rsidRPr="0070339E" w:rsidRDefault="00216E7D" w:rsidP="00E828A9">
            <w:pPr>
              <w:spacing w:after="0" w:line="240" w:lineRule="auto"/>
              <w:ind w:right="9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E7D" w:rsidRPr="0070339E" w14:paraId="557A0A70" w14:textId="77777777" w:rsidTr="00E828A9">
        <w:trPr>
          <w:gridAfter w:val="2"/>
          <w:wAfter w:w="3043" w:type="dxa"/>
          <w:trHeight w:val="31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E1D9" w14:textId="77777777" w:rsidR="00216E7D" w:rsidRPr="0070339E" w:rsidRDefault="00216E7D" w:rsidP="00010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FF15AD" w14:textId="16395801" w:rsidR="00DD3444" w:rsidRDefault="00DD3444" w:rsidP="00DD3444">
      <w:pPr>
        <w:rPr>
          <w:rFonts w:ascii="Times New Roman" w:hAnsi="Times New Roman"/>
          <w:b/>
          <w:bCs/>
          <w:sz w:val="18"/>
          <w:szCs w:val="24"/>
        </w:rPr>
      </w:pPr>
    </w:p>
    <w:p w14:paraId="30F1E65F" w14:textId="77777777" w:rsidR="000105F9" w:rsidRPr="00DD3444" w:rsidRDefault="000105F9" w:rsidP="00DD3444">
      <w:pPr>
        <w:rPr>
          <w:rFonts w:ascii="Times New Roman" w:hAnsi="Times New Roman"/>
          <w:sz w:val="18"/>
          <w:szCs w:val="24"/>
        </w:rPr>
      </w:pPr>
    </w:p>
    <w:p w14:paraId="78020423" w14:textId="77777777" w:rsidR="00DD3444" w:rsidRPr="00DD3444" w:rsidRDefault="00DD3444" w:rsidP="00DD3444">
      <w:pPr>
        <w:rPr>
          <w:rFonts w:ascii="Times New Roman" w:hAnsi="Times New Roman"/>
          <w:sz w:val="18"/>
          <w:szCs w:val="24"/>
        </w:rPr>
      </w:pPr>
    </w:p>
    <w:p w14:paraId="5987C7F1" w14:textId="77777777" w:rsidR="00DD3444" w:rsidRPr="00DD3444" w:rsidRDefault="00DD3444" w:rsidP="00DD3444">
      <w:pPr>
        <w:rPr>
          <w:rFonts w:ascii="Times New Roman" w:hAnsi="Times New Roman"/>
          <w:sz w:val="18"/>
          <w:szCs w:val="24"/>
        </w:rPr>
      </w:pPr>
    </w:p>
    <w:p w14:paraId="431E7600" w14:textId="77777777" w:rsidR="00DD3444" w:rsidRPr="00DD3444" w:rsidRDefault="00DD3444" w:rsidP="00DD3444">
      <w:pPr>
        <w:rPr>
          <w:rFonts w:ascii="Times New Roman" w:hAnsi="Times New Roman"/>
          <w:sz w:val="18"/>
          <w:szCs w:val="24"/>
        </w:rPr>
      </w:pPr>
    </w:p>
    <w:p w14:paraId="61EF86F0" w14:textId="38131E85" w:rsidR="00D148A1" w:rsidRDefault="00D148A1" w:rsidP="00E53A9F">
      <w:pPr>
        <w:jc w:val="both"/>
        <w:rPr>
          <w:rFonts w:ascii="Times New Roman" w:hAnsi="Times New Roman"/>
          <w:sz w:val="18"/>
          <w:szCs w:val="24"/>
        </w:rPr>
      </w:pPr>
    </w:p>
    <w:p w14:paraId="5086AC22" w14:textId="598669B2" w:rsidR="000F65CB" w:rsidRDefault="000F65CB" w:rsidP="00E53A9F">
      <w:pPr>
        <w:jc w:val="both"/>
        <w:rPr>
          <w:rFonts w:ascii="Times New Roman" w:hAnsi="Times New Roman"/>
          <w:sz w:val="18"/>
          <w:szCs w:val="24"/>
        </w:rPr>
      </w:pPr>
    </w:p>
    <w:p w14:paraId="21C12A4C" w14:textId="77777777" w:rsidR="000D4BCD" w:rsidRDefault="000D4BCD" w:rsidP="00E53A9F">
      <w:pPr>
        <w:jc w:val="both"/>
        <w:rPr>
          <w:rFonts w:ascii="Times New Roman" w:hAnsi="Times New Roman"/>
          <w:sz w:val="18"/>
          <w:szCs w:val="24"/>
        </w:rPr>
      </w:pPr>
    </w:p>
    <w:p w14:paraId="7AB81DB6" w14:textId="77777777" w:rsidR="000D4BCD" w:rsidRDefault="000D4BCD" w:rsidP="00E53A9F">
      <w:pPr>
        <w:jc w:val="both"/>
        <w:rPr>
          <w:rFonts w:ascii="Times New Roman" w:hAnsi="Times New Roman"/>
          <w:sz w:val="18"/>
          <w:szCs w:val="24"/>
        </w:rPr>
      </w:pPr>
    </w:p>
    <w:p w14:paraId="5BB4E9F4" w14:textId="77777777" w:rsidR="000D4BCD" w:rsidRDefault="000D4BCD" w:rsidP="00E53A9F">
      <w:pPr>
        <w:jc w:val="both"/>
        <w:rPr>
          <w:rFonts w:ascii="Times New Roman" w:hAnsi="Times New Roman"/>
          <w:sz w:val="18"/>
          <w:szCs w:val="24"/>
        </w:rPr>
      </w:pPr>
    </w:p>
    <w:p w14:paraId="398B571B" w14:textId="77777777" w:rsidR="000D4BCD" w:rsidRDefault="000D4BCD" w:rsidP="00E53A9F">
      <w:pPr>
        <w:jc w:val="both"/>
        <w:rPr>
          <w:rFonts w:ascii="Times New Roman" w:hAnsi="Times New Roman"/>
          <w:sz w:val="18"/>
          <w:szCs w:val="24"/>
        </w:rPr>
      </w:pPr>
    </w:p>
    <w:p w14:paraId="1491A73C" w14:textId="77777777" w:rsidR="000F65CB" w:rsidRDefault="000F65CB" w:rsidP="00E53A9F">
      <w:pPr>
        <w:jc w:val="both"/>
        <w:rPr>
          <w:rFonts w:ascii="Times New Roman" w:hAnsi="Times New Roman"/>
          <w:sz w:val="18"/>
          <w:szCs w:val="24"/>
        </w:rPr>
      </w:pPr>
    </w:p>
    <w:p w14:paraId="5DAD718D" w14:textId="761681AF" w:rsidR="00FC4687" w:rsidRPr="002B5698" w:rsidRDefault="00AB0A32" w:rsidP="002B5698">
      <w:pPr>
        <w:pStyle w:val="Bezproreda"/>
        <w:ind w:firstLine="708"/>
        <w:jc w:val="both"/>
        <w:rPr>
          <w:b/>
          <w:u w:val="single"/>
        </w:rPr>
      </w:pPr>
      <w:r>
        <w:rPr>
          <w:b/>
          <w:u w:val="single"/>
        </w:rPr>
        <w:lastRenderedPageBreak/>
        <w:t>VI</w:t>
      </w:r>
      <w:r w:rsidR="002B5698" w:rsidRPr="002B5698">
        <w:rPr>
          <w:b/>
          <w:u w:val="single"/>
        </w:rPr>
        <w:t xml:space="preserve">. </w:t>
      </w:r>
      <w:r w:rsidR="00FC4687" w:rsidRPr="002B5698">
        <w:rPr>
          <w:b/>
          <w:u w:val="single"/>
        </w:rPr>
        <w:t>PROBLEMI U POSLOVANJU</w:t>
      </w:r>
    </w:p>
    <w:p w14:paraId="61EA115A" w14:textId="77777777" w:rsidR="00D547EF" w:rsidRPr="0070339E" w:rsidRDefault="00D547EF" w:rsidP="00457BE8">
      <w:pPr>
        <w:pStyle w:val="Bezproreda"/>
        <w:jc w:val="both"/>
        <w:rPr>
          <w:b/>
          <w:highlight w:val="yellow"/>
        </w:rPr>
      </w:pPr>
    </w:p>
    <w:p w14:paraId="6BA88F72" w14:textId="463B0B88" w:rsidR="00D547EF" w:rsidRDefault="00D547EF" w:rsidP="002B5698">
      <w:pPr>
        <w:pStyle w:val="Bezproreda"/>
        <w:ind w:firstLine="360"/>
        <w:jc w:val="both"/>
      </w:pPr>
      <w:r w:rsidRPr="0070339E">
        <w:t>Najveći nedostaci u poslovanju Naftalan</w:t>
      </w:r>
      <w:r w:rsidR="00F258FB">
        <w:t>-</w:t>
      </w:r>
      <w:r w:rsidRPr="0070339E">
        <w:t>a su sljedeći:</w:t>
      </w:r>
    </w:p>
    <w:p w14:paraId="6236317A" w14:textId="77777777" w:rsidR="001B13D8" w:rsidRPr="0070339E" w:rsidRDefault="001B13D8" w:rsidP="002B5698">
      <w:pPr>
        <w:pStyle w:val="Bezproreda"/>
        <w:ind w:firstLine="360"/>
        <w:jc w:val="both"/>
      </w:pPr>
    </w:p>
    <w:p w14:paraId="3C93FBE1" w14:textId="77777777" w:rsidR="00D547EF" w:rsidRPr="0070339E" w:rsidRDefault="00D547EF" w:rsidP="00D547EF">
      <w:pPr>
        <w:pStyle w:val="Bezproreda"/>
        <w:numPr>
          <w:ilvl w:val="0"/>
          <w:numId w:val="8"/>
        </w:numPr>
        <w:jc w:val="both"/>
      </w:pPr>
      <w:r w:rsidRPr="0070339E">
        <w:t>manjak smještajnih kapaciteta</w:t>
      </w:r>
      <w:r w:rsidR="00AB0A32">
        <w:t>,</w:t>
      </w:r>
    </w:p>
    <w:p w14:paraId="1432BD22" w14:textId="2415462C" w:rsidR="00D547EF" w:rsidRPr="0070339E" w:rsidRDefault="009A3250" w:rsidP="00D547EF">
      <w:pPr>
        <w:pStyle w:val="Bezproreda"/>
        <w:numPr>
          <w:ilvl w:val="0"/>
          <w:numId w:val="8"/>
        </w:numPr>
        <w:jc w:val="both"/>
      </w:pPr>
      <w:r>
        <w:t>nemogućnost promoviranja novih sadržaja</w:t>
      </w:r>
      <w:r w:rsidR="00D547EF" w:rsidRPr="0070339E">
        <w:t xml:space="preserve"> prema ciljanim tržištima</w:t>
      </w:r>
      <w:r w:rsidR="004854F5">
        <w:t xml:space="preserve"> zbog nedostatka financijskih sredstava</w:t>
      </w:r>
    </w:p>
    <w:p w14:paraId="798E8562" w14:textId="270B426E" w:rsidR="00D547EF" w:rsidRPr="0070339E" w:rsidRDefault="00D547EF" w:rsidP="00D547EF">
      <w:pPr>
        <w:pStyle w:val="Bezproreda"/>
        <w:numPr>
          <w:ilvl w:val="0"/>
          <w:numId w:val="8"/>
        </w:numPr>
        <w:jc w:val="both"/>
      </w:pPr>
      <w:r w:rsidRPr="0070339E">
        <w:t xml:space="preserve">nedovoljna </w:t>
      </w:r>
      <w:r w:rsidR="009A3250">
        <w:t>prepoznatljivost rekreativnih usluga na tržištu</w:t>
      </w:r>
    </w:p>
    <w:p w14:paraId="6B9FFE1B" w14:textId="541503B0" w:rsidR="00D547EF" w:rsidRDefault="00D547EF" w:rsidP="00FD7AD3">
      <w:pPr>
        <w:pStyle w:val="Bezproreda"/>
        <w:numPr>
          <w:ilvl w:val="0"/>
          <w:numId w:val="8"/>
        </w:numPr>
        <w:jc w:val="both"/>
      </w:pPr>
      <w:r w:rsidRPr="0070339E">
        <w:t>veći dio smještajnog kapaciteta nije u skladu sa zahtjevima turističkog tržišta</w:t>
      </w:r>
      <w:r w:rsidR="00AB0A32">
        <w:t>,</w:t>
      </w:r>
    </w:p>
    <w:p w14:paraId="080866C7" w14:textId="1AE1CB86" w:rsidR="004854F5" w:rsidRDefault="008B3755" w:rsidP="00FD7AD3">
      <w:pPr>
        <w:pStyle w:val="Bezproreda"/>
        <w:numPr>
          <w:ilvl w:val="0"/>
          <w:numId w:val="8"/>
        </w:numPr>
        <w:jc w:val="both"/>
      </w:pPr>
      <w:r>
        <w:t>v</w:t>
      </w:r>
      <w:r w:rsidR="004854F5">
        <w:t>isoki udio troškova za zaposlene</w:t>
      </w:r>
    </w:p>
    <w:p w14:paraId="1703B902" w14:textId="31CF233C" w:rsidR="008B3755" w:rsidRPr="0070339E" w:rsidRDefault="008B3755" w:rsidP="00FD7AD3">
      <w:pPr>
        <w:pStyle w:val="Bezproreda"/>
        <w:numPr>
          <w:ilvl w:val="0"/>
          <w:numId w:val="8"/>
        </w:numPr>
        <w:jc w:val="both"/>
      </w:pPr>
      <w:r>
        <w:t>visoki troškovi energenata</w:t>
      </w:r>
    </w:p>
    <w:p w14:paraId="31FF298F" w14:textId="77777777" w:rsidR="001A70AB" w:rsidRPr="0070339E" w:rsidRDefault="001A70AB" w:rsidP="00D547EF">
      <w:pPr>
        <w:pStyle w:val="Bezproreda"/>
        <w:jc w:val="both"/>
        <w:rPr>
          <w:szCs w:val="24"/>
        </w:rPr>
      </w:pPr>
    </w:p>
    <w:p w14:paraId="24EA248C" w14:textId="77777777" w:rsidR="00D547EF" w:rsidRDefault="00D547EF" w:rsidP="001B3AB7">
      <w:pPr>
        <w:pStyle w:val="Bezproreda"/>
        <w:ind w:firstLine="360"/>
        <w:jc w:val="both"/>
        <w:rPr>
          <w:szCs w:val="24"/>
        </w:rPr>
      </w:pPr>
      <w:r w:rsidRPr="0070339E">
        <w:rPr>
          <w:szCs w:val="24"/>
        </w:rPr>
        <w:t>Kako bismo ublažili postojeće probleme nastale u poslovanju poduzeli smo sljedeće mjere:</w:t>
      </w:r>
    </w:p>
    <w:p w14:paraId="2E58B4FE" w14:textId="77777777" w:rsidR="008B3755" w:rsidRPr="0070339E" w:rsidRDefault="008B3755" w:rsidP="001B3AB7">
      <w:pPr>
        <w:pStyle w:val="Bezproreda"/>
        <w:ind w:firstLine="360"/>
        <w:jc w:val="both"/>
        <w:rPr>
          <w:szCs w:val="24"/>
        </w:rPr>
      </w:pPr>
    </w:p>
    <w:p w14:paraId="2F375981" w14:textId="34E4C1F1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pojačane marketinške aktivnosti za dolazak pacijenata kako s domaćeg tako i s inozemnog tržišta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koje se naročito odnose na promoviranje putem društvenih mreža i </w:t>
      </w:r>
      <w:proofErr w:type="spellStart"/>
      <w:r w:rsidRPr="0070339E">
        <w:rPr>
          <w:szCs w:val="24"/>
        </w:rPr>
        <w:t>google</w:t>
      </w:r>
      <w:proofErr w:type="spellEnd"/>
      <w:r w:rsidRPr="0070339E">
        <w:rPr>
          <w:szCs w:val="24"/>
        </w:rPr>
        <w:t xml:space="preserve"> </w:t>
      </w:r>
      <w:proofErr w:type="spellStart"/>
      <w:r w:rsidRPr="0070339E">
        <w:rPr>
          <w:szCs w:val="24"/>
        </w:rPr>
        <w:t>adwordsa</w:t>
      </w:r>
      <w:proofErr w:type="spellEnd"/>
      <w:r w:rsidRPr="0070339E">
        <w:rPr>
          <w:szCs w:val="24"/>
        </w:rPr>
        <w:t xml:space="preserve"> na talijanskom i slovenskom tržištu</w:t>
      </w:r>
      <w:r w:rsidR="006828B1">
        <w:rPr>
          <w:szCs w:val="24"/>
        </w:rPr>
        <w:t>, unutar financijskih mogućnosti</w:t>
      </w:r>
    </w:p>
    <w:p w14:paraId="7971753D" w14:textId="77777777" w:rsidR="00D547EF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Sudjelovanje na sajmovima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</w:t>
      </w:r>
    </w:p>
    <w:p w14:paraId="689E6CC7" w14:textId="2E50A31F" w:rsidR="00594370" w:rsidRPr="0070339E" w:rsidRDefault="00594370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Usavršavanje i educiranje liječnika, medicinskih sestara i fizioterapeutskih tehničara</w:t>
      </w:r>
    </w:p>
    <w:p w14:paraId="22670462" w14:textId="77777777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>Održavanje i dopuna nove web stranice prilagođene pregledavanjem mobitelima na 4 strana jezika</w:t>
      </w:r>
      <w:r w:rsidR="00AB0A32">
        <w:rPr>
          <w:szCs w:val="24"/>
        </w:rPr>
        <w:t>,</w:t>
      </w:r>
    </w:p>
    <w:p w14:paraId="651FD6DA" w14:textId="77777777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 xml:space="preserve">Održavanje </w:t>
      </w:r>
      <w:proofErr w:type="spellStart"/>
      <w:r w:rsidRPr="0070339E">
        <w:rPr>
          <w:szCs w:val="24"/>
        </w:rPr>
        <w:t>facebook</w:t>
      </w:r>
      <w:proofErr w:type="spellEnd"/>
      <w:r w:rsidRPr="0070339E">
        <w:rPr>
          <w:szCs w:val="24"/>
        </w:rPr>
        <w:t xml:space="preserve"> stranice</w:t>
      </w:r>
      <w:r w:rsidR="00AB0A32">
        <w:rPr>
          <w:szCs w:val="24"/>
        </w:rPr>
        <w:t>,</w:t>
      </w:r>
      <w:r w:rsidRPr="0070339E">
        <w:rPr>
          <w:szCs w:val="24"/>
        </w:rPr>
        <w:t xml:space="preserve"> </w:t>
      </w:r>
    </w:p>
    <w:p w14:paraId="11824C54" w14:textId="2BBEB114" w:rsidR="00D547EF" w:rsidRPr="0070339E" w:rsidRDefault="00D547EF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 w:rsidRPr="0070339E">
        <w:rPr>
          <w:szCs w:val="24"/>
        </w:rPr>
        <w:t xml:space="preserve">Izrada novih ponuda </w:t>
      </w:r>
      <w:r w:rsidR="00594370">
        <w:rPr>
          <w:szCs w:val="24"/>
        </w:rPr>
        <w:t>za razvoj zdravstvenog turizma i ugostiteljstva</w:t>
      </w:r>
    </w:p>
    <w:p w14:paraId="2CA7AB8A" w14:textId="2D90A1BA" w:rsidR="001B13D8" w:rsidRDefault="00D738AB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Povećanje obujma pregleda i ambulantnih terapija kako bi se </w:t>
      </w:r>
      <w:r w:rsidR="000D4BCD">
        <w:rPr>
          <w:szCs w:val="24"/>
        </w:rPr>
        <w:t>ispunjavao Ugovor sa HZZO-om</w:t>
      </w:r>
    </w:p>
    <w:p w14:paraId="4B6181F9" w14:textId="33A9CF6E" w:rsidR="003102F6" w:rsidRPr="0070339E" w:rsidRDefault="000D4BCD" w:rsidP="00D547EF">
      <w:pPr>
        <w:pStyle w:val="Bezprored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Potpisivanje Ugovora i pokretanja postupaka</w:t>
      </w:r>
      <w:r w:rsidR="003102F6">
        <w:rPr>
          <w:szCs w:val="24"/>
        </w:rPr>
        <w:t xml:space="preserve"> </w:t>
      </w:r>
      <w:r w:rsidR="00E464CE">
        <w:rPr>
          <w:szCs w:val="24"/>
        </w:rPr>
        <w:t xml:space="preserve">EU </w:t>
      </w:r>
      <w:r w:rsidR="003102F6">
        <w:rPr>
          <w:szCs w:val="24"/>
        </w:rPr>
        <w:t>projek</w:t>
      </w:r>
      <w:r w:rsidR="00E464CE">
        <w:rPr>
          <w:szCs w:val="24"/>
        </w:rPr>
        <w:t>a</w:t>
      </w:r>
      <w:r w:rsidR="003102F6">
        <w:rPr>
          <w:szCs w:val="24"/>
        </w:rPr>
        <w:t>ta</w:t>
      </w:r>
      <w:r w:rsidR="00274713">
        <w:rPr>
          <w:szCs w:val="24"/>
        </w:rPr>
        <w:t xml:space="preserve"> za povećanje energetske učinkovitost</w:t>
      </w:r>
      <w:r>
        <w:rPr>
          <w:szCs w:val="24"/>
        </w:rPr>
        <w:t>i, smještajnih kapaciteta</w:t>
      </w:r>
      <w:r w:rsidR="008B3755">
        <w:rPr>
          <w:szCs w:val="24"/>
        </w:rPr>
        <w:t xml:space="preserve"> te unaprjeđenje wellnessa</w:t>
      </w:r>
    </w:p>
    <w:p w14:paraId="37796BEB" w14:textId="77777777" w:rsidR="00964372" w:rsidRDefault="00964372" w:rsidP="00AB0A32">
      <w:pPr>
        <w:pStyle w:val="Bezproreda"/>
        <w:jc w:val="both"/>
        <w:rPr>
          <w:szCs w:val="24"/>
        </w:rPr>
      </w:pPr>
    </w:p>
    <w:p w14:paraId="0D5BD48D" w14:textId="77777777" w:rsidR="006828B1" w:rsidRDefault="006828B1" w:rsidP="0008606C">
      <w:pPr>
        <w:pStyle w:val="Bezproreda"/>
        <w:ind w:firstLine="360"/>
        <w:jc w:val="both"/>
        <w:rPr>
          <w:szCs w:val="24"/>
        </w:rPr>
      </w:pPr>
    </w:p>
    <w:p w14:paraId="7C46AF5B" w14:textId="4555AFA2" w:rsidR="000245F5" w:rsidRPr="00FA7C35" w:rsidRDefault="00D547EF" w:rsidP="0008606C">
      <w:pPr>
        <w:pStyle w:val="Bezproreda"/>
        <w:ind w:firstLine="360"/>
        <w:jc w:val="both"/>
        <w:rPr>
          <w:szCs w:val="24"/>
        </w:rPr>
      </w:pPr>
      <w:r w:rsidRPr="00FA7C35">
        <w:rPr>
          <w:szCs w:val="24"/>
        </w:rPr>
        <w:t xml:space="preserve">Istovremeno osnivač Zagrebačka županija brine o osiguranju </w:t>
      </w:r>
      <w:proofErr w:type="spellStart"/>
      <w:r w:rsidRPr="00FA7C35">
        <w:rPr>
          <w:szCs w:val="24"/>
        </w:rPr>
        <w:t>nadstandarda</w:t>
      </w:r>
      <w:proofErr w:type="spellEnd"/>
      <w:r w:rsidRPr="00FA7C35">
        <w:rPr>
          <w:szCs w:val="24"/>
        </w:rPr>
        <w:t xml:space="preserve"> u dijelu dostupnosti i kvalitete zdravstvene zaštite svojih stanovnika putem mjera koje omogućavaju razvoj Naftalan</w:t>
      </w:r>
      <w:r w:rsidR="007216C3">
        <w:rPr>
          <w:szCs w:val="24"/>
        </w:rPr>
        <w:t>-</w:t>
      </w:r>
      <w:r w:rsidRPr="00FA7C35">
        <w:rPr>
          <w:szCs w:val="24"/>
        </w:rPr>
        <w:t>a, tako da je Županija svojim sredstvima omogućila liječenje branitelja, vatrogasaca i oboljelih od psorijaze</w:t>
      </w:r>
      <w:r w:rsidR="00585708" w:rsidRPr="00FA7C35">
        <w:rPr>
          <w:szCs w:val="24"/>
        </w:rPr>
        <w:t xml:space="preserve"> (Ugovori br.</w:t>
      </w:r>
      <w:r w:rsidR="000D4BCD">
        <w:rPr>
          <w:szCs w:val="24"/>
        </w:rPr>
        <w:t xml:space="preserve"> 7-05-10-24, 8-05-10-24, 9-05-10-24</w:t>
      </w:r>
      <w:r w:rsidR="00585708" w:rsidRPr="00FA7C35">
        <w:rPr>
          <w:szCs w:val="24"/>
        </w:rPr>
        <w:t xml:space="preserve"> sa Zagrebačkom županijom u ukupnom iznosu</w:t>
      </w:r>
      <w:r w:rsidR="00AA68DA">
        <w:rPr>
          <w:szCs w:val="24"/>
        </w:rPr>
        <w:t xml:space="preserve"> </w:t>
      </w:r>
      <w:r w:rsidR="000D4BCD">
        <w:rPr>
          <w:szCs w:val="24"/>
        </w:rPr>
        <w:t xml:space="preserve">121.050,00 </w:t>
      </w:r>
      <w:r w:rsidR="00AA68DA">
        <w:rPr>
          <w:szCs w:val="24"/>
        </w:rPr>
        <w:t>EUR</w:t>
      </w:r>
      <w:r w:rsidR="00FA7C35" w:rsidRPr="00FA7C35">
        <w:rPr>
          <w:szCs w:val="24"/>
        </w:rPr>
        <w:t>).</w:t>
      </w:r>
    </w:p>
    <w:p w14:paraId="39D9AEFC" w14:textId="04577443" w:rsidR="000245F5" w:rsidRDefault="000245F5" w:rsidP="0008606C">
      <w:pPr>
        <w:pStyle w:val="Bezproreda"/>
        <w:ind w:firstLine="360"/>
        <w:jc w:val="both"/>
        <w:rPr>
          <w:szCs w:val="24"/>
        </w:rPr>
      </w:pPr>
    </w:p>
    <w:p w14:paraId="2A13E317" w14:textId="57FBBE66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6FC42F1C" w14:textId="03B69402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0E58D3F1" w14:textId="77777777" w:rsidR="004854F5" w:rsidRDefault="004854F5" w:rsidP="0008606C">
      <w:pPr>
        <w:pStyle w:val="Bezproreda"/>
        <w:ind w:firstLine="360"/>
        <w:jc w:val="both"/>
        <w:rPr>
          <w:szCs w:val="24"/>
        </w:rPr>
      </w:pPr>
    </w:p>
    <w:p w14:paraId="25B90EAD" w14:textId="4774D0C6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677A122C" w14:textId="5117FE72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4F05EC20" w14:textId="77777777" w:rsidR="00AA68DA" w:rsidRDefault="00AA68DA" w:rsidP="0008606C">
      <w:pPr>
        <w:pStyle w:val="Bezproreda"/>
        <w:ind w:firstLine="360"/>
        <w:jc w:val="both"/>
        <w:rPr>
          <w:szCs w:val="24"/>
        </w:rPr>
      </w:pPr>
    </w:p>
    <w:p w14:paraId="103AE923" w14:textId="77777777" w:rsidR="00AA68DA" w:rsidRDefault="00AA68DA" w:rsidP="0008606C">
      <w:pPr>
        <w:pStyle w:val="Bezproreda"/>
        <w:ind w:firstLine="360"/>
        <w:jc w:val="both"/>
        <w:rPr>
          <w:szCs w:val="24"/>
        </w:rPr>
      </w:pPr>
    </w:p>
    <w:p w14:paraId="3F616D84" w14:textId="77777777" w:rsidR="000D4BCD" w:rsidRDefault="000D4BCD" w:rsidP="0008606C">
      <w:pPr>
        <w:pStyle w:val="Bezproreda"/>
        <w:ind w:firstLine="360"/>
        <w:jc w:val="both"/>
        <w:rPr>
          <w:szCs w:val="24"/>
        </w:rPr>
      </w:pPr>
    </w:p>
    <w:p w14:paraId="4EEF686F" w14:textId="77777777" w:rsidR="000D4BCD" w:rsidRDefault="000D4BCD" w:rsidP="0008606C">
      <w:pPr>
        <w:pStyle w:val="Bezproreda"/>
        <w:ind w:firstLine="360"/>
        <w:jc w:val="both"/>
        <w:rPr>
          <w:szCs w:val="24"/>
        </w:rPr>
      </w:pPr>
    </w:p>
    <w:p w14:paraId="26F790AC" w14:textId="77777777" w:rsidR="000D4BCD" w:rsidRDefault="000D4BCD" w:rsidP="0008606C">
      <w:pPr>
        <w:pStyle w:val="Bezproreda"/>
        <w:ind w:firstLine="360"/>
        <w:jc w:val="both"/>
        <w:rPr>
          <w:szCs w:val="24"/>
        </w:rPr>
      </w:pPr>
    </w:p>
    <w:p w14:paraId="004400D5" w14:textId="77777777" w:rsidR="000D4BCD" w:rsidRDefault="000D4BCD" w:rsidP="0008606C">
      <w:pPr>
        <w:pStyle w:val="Bezproreda"/>
        <w:ind w:firstLine="360"/>
        <w:jc w:val="both"/>
        <w:rPr>
          <w:szCs w:val="24"/>
        </w:rPr>
      </w:pPr>
    </w:p>
    <w:p w14:paraId="2C5DF4E6" w14:textId="77777777" w:rsidR="00AA68DA" w:rsidRDefault="00AA68DA" w:rsidP="0008606C">
      <w:pPr>
        <w:pStyle w:val="Bezproreda"/>
        <w:ind w:firstLine="360"/>
        <w:jc w:val="both"/>
        <w:rPr>
          <w:szCs w:val="24"/>
        </w:rPr>
      </w:pPr>
    </w:p>
    <w:p w14:paraId="20893ACD" w14:textId="5BF6CF07" w:rsidR="00F258FB" w:rsidRDefault="00F258FB" w:rsidP="0008606C">
      <w:pPr>
        <w:pStyle w:val="Bezproreda"/>
        <w:ind w:firstLine="360"/>
        <w:jc w:val="both"/>
        <w:rPr>
          <w:szCs w:val="24"/>
        </w:rPr>
      </w:pPr>
    </w:p>
    <w:p w14:paraId="0FEDF8F7" w14:textId="77777777" w:rsidR="00FA7C35" w:rsidRDefault="00FA7C35" w:rsidP="00D738A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E821A80" w14:textId="203F7C70" w:rsidR="008B3755" w:rsidRDefault="00AB0A32" w:rsidP="008B3755">
      <w:pPr>
        <w:ind w:firstLine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VII</w:t>
      </w:r>
      <w:r w:rsidR="001B3AB7" w:rsidRPr="001B3AB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35284" w:rsidRPr="001B3AB7">
        <w:rPr>
          <w:rFonts w:ascii="Times New Roman" w:hAnsi="Times New Roman"/>
          <w:b/>
          <w:sz w:val="24"/>
          <w:szCs w:val="24"/>
          <w:u w:val="single"/>
        </w:rPr>
        <w:t>ZAKLJUČAK</w:t>
      </w:r>
      <w:r w:rsidR="00826B92" w:rsidRPr="001B3A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-68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"/>
        <w:gridCol w:w="6601"/>
        <w:gridCol w:w="2009"/>
      </w:tblGrid>
      <w:tr w:rsidR="008B3755" w:rsidRPr="00826F70" w14:paraId="6384D42D" w14:textId="77777777" w:rsidTr="008B3755">
        <w:trPr>
          <w:trHeight w:val="419"/>
        </w:trPr>
        <w:tc>
          <w:tcPr>
            <w:tcW w:w="0" w:type="auto"/>
          </w:tcPr>
          <w:p w14:paraId="1738D02C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ŠIFRA</w:t>
            </w:r>
          </w:p>
        </w:tc>
        <w:tc>
          <w:tcPr>
            <w:tcW w:w="6601" w:type="dxa"/>
          </w:tcPr>
          <w:p w14:paraId="7996E13A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OPIS</w:t>
            </w:r>
          </w:p>
        </w:tc>
        <w:tc>
          <w:tcPr>
            <w:tcW w:w="2009" w:type="dxa"/>
          </w:tcPr>
          <w:p w14:paraId="2C4B6595" w14:textId="77777777" w:rsidR="000D4BCD" w:rsidRPr="008B3755" w:rsidRDefault="000D4BCD" w:rsidP="00125237">
            <w:pPr>
              <w:jc w:val="center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I. - XII. 2024.</w:t>
            </w:r>
          </w:p>
        </w:tc>
      </w:tr>
      <w:tr w:rsidR="008B3755" w:rsidRPr="00826F70" w14:paraId="360DD9E7" w14:textId="77777777" w:rsidTr="008B3755">
        <w:trPr>
          <w:trHeight w:val="415"/>
        </w:trPr>
        <w:tc>
          <w:tcPr>
            <w:tcW w:w="0" w:type="auto"/>
          </w:tcPr>
          <w:p w14:paraId="79CCB463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X678</w:t>
            </w:r>
          </w:p>
        </w:tc>
        <w:tc>
          <w:tcPr>
            <w:tcW w:w="6601" w:type="dxa"/>
          </w:tcPr>
          <w:p w14:paraId="3D312556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NAPLAĆENI PRIHODI I PRIMICI</w:t>
            </w:r>
          </w:p>
        </w:tc>
        <w:tc>
          <w:tcPr>
            <w:tcW w:w="2009" w:type="dxa"/>
            <w:vAlign w:val="bottom"/>
          </w:tcPr>
          <w:p w14:paraId="21723953" w14:textId="77777777" w:rsidR="000D4BCD" w:rsidRPr="008B3755" w:rsidRDefault="000D4BCD" w:rsidP="00125237">
            <w:pPr>
              <w:jc w:val="right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7.573.522,51</w:t>
            </w:r>
          </w:p>
        </w:tc>
      </w:tr>
      <w:tr w:rsidR="008B3755" w:rsidRPr="00826F70" w14:paraId="41193E6A" w14:textId="77777777" w:rsidTr="008B3755">
        <w:trPr>
          <w:trHeight w:val="415"/>
        </w:trPr>
        <w:tc>
          <w:tcPr>
            <w:tcW w:w="0" w:type="auto"/>
          </w:tcPr>
          <w:p w14:paraId="4C6D47F6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Y345</w:t>
            </w:r>
          </w:p>
        </w:tc>
        <w:tc>
          <w:tcPr>
            <w:tcW w:w="6601" w:type="dxa"/>
          </w:tcPr>
          <w:p w14:paraId="176E886E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UKUPNI RASHODI I IZDACI</w:t>
            </w:r>
          </w:p>
        </w:tc>
        <w:tc>
          <w:tcPr>
            <w:tcW w:w="2009" w:type="dxa"/>
            <w:vAlign w:val="bottom"/>
          </w:tcPr>
          <w:p w14:paraId="06749232" w14:textId="77777777" w:rsidR="000D4BCD" w:rsidRPr="008B3755" w:rsidRDefault="000D4BCD" w:rsidP="00125237">
            <w:pPr>
              <w:jc w:val="right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7.615.958,46</w:t>
            </w:r>
          </w:p>
        </w:tc>
      </w:tr>
      <w:tr w:rsidR="008B3755" w:rsidRPr="00826F70" w14:paraId="08AC27B6" w14:textId="77777777" w:rsidTr="008B3755">
        <w:trPr>
          <w:trHeight w:val="415"/>
        </w:trPr>
        <w:tc>
          <w:tcPr>
            <w:tcW w:w="0" w:type="auto"/>
          </w:tcPr>
          <w:p w14:paraId="007C2F78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X005</w:t>
            </w:r>
          </w:p>
        </w:tc>
        <w:tc>
          <w:tcPr>
            <w:tcW w:w="6601" w:type="dxa"/>
          </w:tcPr>
          <w:p w14:paraId="3735C298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VIŠAK PRIHODA I PRIMITAKA</w:t>
            </w:r>
          </w:p>
        </w:tc>
        <w:tc>
          <w:tcPr>
            <w:tcW w:w="2009" w:type="dxa"/>
            <w:vAlign w:val="bottom"/>
          </w:tcPr>
          <w:p w14:paraId="24771D4F" w14:textId="77777777" w:rsidR="000D4BCD" w:rsidRPr="008B3755" w:rsidRDefault="000D4BCD" w:rsidP="00125237">
            <w:pPr>
              <w:jc w:val="right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0</w:t>
            </w:r>
          </w:p>
        </w:tc>
      </w:tr>
      <w:tr w:rsidR="008B3755" w:rsidRPr="00826F70" w14:paraId="3CCD948B" w14:textId="77777777" w:rsidTr="008B3755">
        <w:trPr>
          <w:trHeight w:val="415"/>
        </w:trPr>
        <w:tc>
          <w:tcPr>
            <w:tcW w:w="0" w:type="auto"/>
          </w:tcPr>
          <w:p w14:paraId="4F7C1395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Y005</w:t>
            </w:r>
          </w:p>
        </w:tc>
        <w:tc>
          <w:tcPr>
            <w:tcW w:w="6601" w:type="dxa"/>
          </w:tcPr>
          <w:p w14:paraId="66082A3F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MANJAK PRIHODA I PRIMITAKA</w:t>
            </w:r>
          </w:p>
        </w:tc>
        <w:tc>
          <w:tcPr>
            <w:tcW w:w="2009" w:type="dxa"/>
            <w:vAlign w:val="bottom"/>
          </w:tcPr>
          <w:p w14:paraId="62499B09" w14:textId="77777777" w:rsidR="000D4BCD" w:rsidRPr="008B3755" w:rsidRDefault="000D4BCD" w:rsidP="00125237">
            <w:pPr>
              <w:jc w:val="right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42.435,95</w:t>
            </w:r>
          </w:p>
        </w:tc>
      </w:tr>
      <w:tr w:rsidR="008B3755" w:rsidRPr="00826F70" w14:paraId="4383C055" w14:textId="77777777" w:rsidTr="008B3755">
        <w:trPr>
          <w:trHeight w:val="428"/>
        </w:trPr>
        <w:tc>
          <w:tcPr>
            <w:tcW w:w="0" w:type="auto"/>
          </w:tcPr>
          <w:p w14:paraId="35C85E08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9222-9221</w:t>
            </w:r>
          </w:p>
        </w:tc>
        <w:tc>
          <w:tcPr>
            <w:tcW w:w="6601" w:type="dxa"/>
          </w:tcPr>
          <w:p w14:paraId="62CC21F6" w14:textId="77777777" w:rsidR="000D4BCD" w:rsidRPr="008B3755" w:rsidRDefault="000D4BCD" w:rsidP="00125237">
            <w:pPr>
              <w:ind w:right="830"/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MANJAK PRIHODA I PRIMITAKA PRENESENI</w:t>
            </w:r>
          </w:p>
        </w:tc>
        <w:tc>
          <w:tcPr>
            <w:tcW w:w="2009" w:type="dxa"/>
            <w:vAlign w:val="bottom"/>
          </w:tcPr>
          <w:p w14:paraId="4C3FB807" w14:textId="77777777" w:rsidR="000D4BCD" w:rsidRPr="008B3755" w:rsidRDefault="000D4BCD" w:rsidP="00125237">
            <w:pPr>
              <w:jc w:val="right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418.969,00</w:t>
            </w:r>
          </w:p>
        </w:tc>
      </w:tr>
      <w:tr w:rsidR="008B3755" w:rsidRPr="00826F70" w14:paraId="1A120A4D" w14:textId="77777777" w:rsidTr="008B3755">
        <w:trPr>
          <w:trHeight w:val="428"/>
        </w:trPr>
        <w:tc>
          <w:tcPr>
            <w:tcW w:w="0" w:type="auto"/>
          </w:tcPr>
          <w:p w14:paraId="307643EA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Y006</w:t>
            </w:r>
          </w:p>
        </w:tc>
        <w:tc>
          <w:tcPr>
            <w:tcW w:w="6601" w:type="dxa"/>
          </w:tcPr>
          <w:p w14:paraId="441822FA" w14:textId="77777777" w:rsidR="000D4BCD" w:rsidRPr="008B3755" w:rsidRDefault="000D4BCD" w:rsidP="00125237">
            <w:pPr>
              <w:jc w:val="both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MANJAK PRIHODA I PRIMITAKA ZA POKRIĆE U SLJEDEĆEM RAZDOBLJU</w:t>
            </w:r>
          </w:p>
        </w:tc>
        <w:tc>
          <w:tcPr>
            <w:tcW w:w="2009" w:type="dxa"/>
            <w:vAlign w:val="bottom"/>
          </w:tcPr>
          <w:p w14:paraId="6D02A8C9" w14:textId="77777777" w:rsidR="000D4BCD" w:rsidRPr="008B3755" w:rsidRDefault="000D4BCD" w:rsidP="00125237">
            <w:pPr>
              <w:jc w:val="right"/>
              <w:rPr>
                <w:rFonts w:ascii="Times New Roman" w:hAnsi="Times New Roman"/>
              </w:rPr>
            </w:pPr>
            <w:r w:rsidRPr="008B3755">
              <w:rPr>
                <w:rFonts w:ascii="Times New Roman" w:hAnsi="Times New Roman"/>
              </w:rPr>
              <w:t>461.404,95</w:t>
            </w:r>
          </w:p>
        </w:tc>
      </w:tr>
    </w:tbl>
    <w:p w14:paraId="75C2F5FE" w14:textId="3BA722C3" w:rsidR="00340471" w:rsidRPr="00AA68DA" w:rsidRDefault="00585802" w:rsidP="00AA68DA">
      <w:pPr>
        <w:rPr>
          <w:rFonts w:ascii="Times New Roman" w:hAnsi="Times New Roman"/>
          <w:b/>
          <w:sz w:val="24"/>
          <w:szCs w:val="24"/>
        </w:rPr>
      </w:pPr>
      <w:r w:rsidRPr="0070339E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26B92" w:rsidRPr="0070339E">
        <w:rPr>
          <w:rFonts w:ascii="Times New Roman" w:hAnsi="Times New Roman"/>
          <w:b/>
          <w:sz w:val="24"/>
          <w:szCs w:val="24"/>
        </w:rPr>
        <w:t xml:space="preserve">    </w:t>
      </w:r>
    </w:p>
    <w:p w14:paraId="61FFDBE6" w14:textId="77777777" w:rsidR="000D4BCD" w:rsidRDefault="000D4BCD" w:rsidP="000D4BCD">
      <w:pPr>
        <w:ind w:firstLine="142"/>
        <w:jc w:val="both"/>
        <w:rPr>
          <w:rFonts w:ascii="Times New Roman" w:hAnsi="Times New Roman"/>
          <w:sz w:val="24"/>
          <w:szCs w:val="24"/>
        </w:rPr>
      </w:pPr>
      <w:r w:rsidRPr="004A6691">
        <w:rPr>
          <w:rFonts w:ascii="Times New Roman" w:hAnsi="Times New Roman"/>
          <w:sz w:val="24"/>
          <w:szCs w:val="24"/>
        </w:rPr>
        <w:t>NAFTALAN kao proračunski korisnik u razdoblju I. - XII. 202</w:t>
      </w:r>
      <w:r>
        <w:rPr>
          <w:rFonts w:ascii="Times New Roman" w:hAnsi="Times New Roman"/>
          <w:sz w:val="24"/>
          <w:szCs w:val="24"/>
        </w:rPr>
        <w:t>4</w:t>
      </w:r>
      <w:r w:rsidRPr="004A6691">
        <w:rPr>
          <w:rFonts w:ascii="Times New Roman" w:hAnsi="Times New Roman"/>
          <w:sz w:val="24"/>
          <w:szCs w:val="24"/>
        </w:rPr>
        <w:t xml:space="preserve">. godine bilježi </w:t>
      </w:r>
      <w:r>
        <w:rPr>
          <w:rFonts w:ascii="Times New Roman" w:hAnsi="Times New Roman"/>
          <w:sz w:val="24"/>
          <w:szCs w:val="24"/>
        </w:rPr>
        <w:t>manjak</w:t>
      </w:r>
      <w:r w:rsidRPr="004A6691">
        <w:rPr>
          <w:rFonts w:ascii="Times New Roman" w:hAnsi="Times New Roman"/>
          <w:sz w:val="24"/>
          <w:szCs w:val="24"/>
        </w:rPr>
        <w:t xml:space="preserve"> prihoda i primitaka u iznosu od </w:t>
      </w:r>
      <w:r>
        <w:rPr>
          <w:rFonts w:ascii="Times New Roman" w:hAnsi="Times New Roman"/>
          <w:sz w:val="24"/>
          <w:szCs w:val="24"/>
        </w:rPr>
        <w:t>42.435,95</w:t>
      </w:r>
      <w:r w:rsidRPr="004A6691">
        <w:rPr>
          <w:rFonts w:ascii="Times New Roman" w:hAnsi="Times New Roman"/>
          <w:sz w:val="24"/>
          <w:szCs w:val="24"/>
        </w:rPr>
        <w:t xml:space="preserve"> EUR. </w:t>
      </w:r>
      <w:r w:rsidRPr="00DE757C">
        <w:rPr>
          <w:rFonts w:ascii="Times New Roman" w:hAnsi="Times New Roman"/>
          <w:sz w:val="24"/>
          <w:szCs w:val="24"/>
        </w:rPr>
        <w:t xml:space="preserve">S obzirom da su u ožujku 2024. godine temeljem Uredbe Vlade RH, o nazivima radnih mjesta, uvjetima za raspored i koeficijentima za obračun plaće u javnim službama (NN 22/2024), plaće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DE757C">
        <w:rPr>
          <w:rFonts w:ascii="Times New Roman" w:hAnsi="Times New Roman"/>
          <w:sz w:val="24"/>
          <w:szCs w:val="24"/>
        </w:rPr>
        <w:t>znatno porasle</w:t>
      </w:r>
      <w:r>
        <w:rPr>
          <w:rFonts w:ascii="Times New Roman" w:hAnsi="Times New Roman"/>
          <w:sz w:val="24"/>
          <w:szCs w:val="24"/>
        </w:rPr>
        <w:t>. T</w:t>
      </w:r>
      <w:r w:rsidRPr="00DE757C">
        <w:rPr>
          <w:rFonts w:ascii="Times New Roman" w:hAnsi="Times New Roman"/>
          <w:sz w:val="24"/>
          <w:szCs w:val="24"/>
        </w:rPr>
        <w:t xml:space="preserve">rošak plaće se sa prosjeka od 310.000 EUR mjesečno popeo na 400.000 EUR mjesečno, što je ustanovu veliki trošak za podnijeti. </w:t>
      </w:r>
      <w:r>
        <w:rPr>
          <w:rFonts w:ascii="Times New Roman" w:hAnsi="Times New Roman"/>
          <w:sz w:val="24"/>
          <w:szCs w:val="24"/>
        </w:rPr>
        <w:t>Iako su se</w:t>
      </w:r>
      <w:r w:rsidRPr="00DE757C">
        <w:rPr>
          <w:rFonts w:ascii="Times New Roman" w:hAnsi="Times New Roman"/>
          <w:sz w:val="24"/>
          <w:szCs w:val="24"/>
        </w:rPr>
        <w:t xml:space="preserve"> povećavali mjesečni limiti od strane Hrvatskog zavoda za zdravstveno osiguranje sukladno povećanju plaća, tek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E757C">
        <w:rPr>
          <w:rFonts w:ascii="Times New Roman" w:hAnsi="Times New Roman"/>
          <w:sz w:val="24"/>
          <w:szCs w:val="24"/>
        </w:rPr>
        <w:t>u srpnju 2024. godine limit povećan na trenutni od 338.716 EUR koji nam u zbroju sa dopunskim zdravstvenim osiguranjem pokriva mjesečni trošak plaće. Kroz razdoblje od ožujka do srpnja trošak razlike plaće išao je na teret Naftalan-a.</w:t>
      </w:r>
      <w:r>
        <w:rPr>
          <w:rFonts w:ascii="Times New Roman" w:hAnsi="Times New Roman"/>
          <w:sz w:val="24"/>
          <w:szCs w:val="24"/>
        </w:rPr>
        <w:t xml:space="preserve"> Navedeno je utjecalo na financijski rezultat ustanove.</w:t>
      </w:r>
      <w:r w:rsidRPr="00DE757C">
        <w:rPr>
          <w:rFonts w:ascii="Times New Roman" w:hAnsi="Times New Roman"/>
          <w:sz w:val="24"/>
          <w:szCs w:val="24"/>
        </w:rPr>
        <w:t xml:space="preserve"> </w:t>
      </w:r>
    </w:p>
    <w:p w14:paraId="2FA3F7FF" w14:textId="77777777" w:rsidR="000D4BCD" w:rsidRDefault="000D4BCD" w:rsidP="000D4BCD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navedenog, u 2024. godini povećale su se potrebe za raznim popravcima, radovima i zamjeni dotrajale imovine. Iako se veliki udio troška refundirao iz proračuna Zagrebačke županije kroz decentralizirana sredstva i financijsku pomoć za opremanje vanjskog bazena, jedan dio troškova je spao i na teret vlastitih sredstva ustanove. </w:t>
      </w:r>
    </w:p>
    <w:p w14:paraId="406DCBA0" w14:textId="77777777" w:rsidR="000D4BCD" w:rsidRPr="004A6691" w:rsidRDefault="000D4BCD" w:rsidP="000D4BCD">
      <w:pPr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 se stalno bilježe povećanja cijena materijala i usluga, kao i povećanje potreba za određenim materijalima sukladno povećanju prihoda. </w:t>
      </w:r>
    </w:p>
    <w:p w14:paraId="15F2190F" w14:textId="6A23B047" w:rsidR="00AA68DA" w:rsidRPr="004A6691" w:rsidRDefault="000D4BCD" w:rsidP="000D4BCD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4A6691">
        <w:rPr>
          <w:rFonts w:ascii="Times New Roman" w:hAnsi="Times New Roman"/>
          <w:sz w:val="24"/>
          <w:szCs w:val="24"/>
        </w:rPr>
        <w:t>Kumulirani manjak na 31.12.202</w:t>
      </w:r>
      <w:r>
        <w:rPr>
          <w:rFonts w:ascii="Times New Roman" w:hAnsi="Times New Roman"/>
          <w:sz w:val="24"/>
          <w:szCs w:val="24"/>
        </w:rPr>
        <w:t>4</w:t>
      </w:r>
      <w:r w:rsidRPr="004A6691">
        <w:rPr>
          <w:rFonts w:ascii="Times New Roman" w:hAnsi="Times New Roman"/>
          <w:sz w:val="24"/>
          <w:szCs w:val="24"/>
        </w:rPr>
        <w:t xml:space="preserve">. godine iznosi </w:t>
      </w:r>
      <w:r>
        <w:rPr>
          <w:rFonts w:ascii="Times New Roman" w:hAnsi="Times New Roman"/>
          <w:sz w:val="24"/>
          <w:szCs w:val="24"/>
        </w:rPr>
        <w:t>461.404,95</w:t>
      </w:r>
      <w:r w:rsidRPr="004A6691">
        <w:rPr>
          <w:rFonts w:ascii="Times New Roman" w:hAnsi="Times New Roman"/>
          <w:sz w:val="24"/>
          <w:szCs w:val="24"/>
        </w:rPr>
        <w:t xml:space="preserve"> EUR, te će se u 202</w:t>
      </w:r>
      <w:r>
        <w:rPr>
          <w:rFonts w:ascii="Times New Roman" w:hAnsi="Times New Roman"/>
          <w:sz w:val="24"/>
          <w:szCs w:val="24"/>
        </w:rPr>
        <w:t>5</w:t>
      </w:r>
      <w:r w:rsidRPr="004A6691">
        <w:rPr>
          <w:rFonts w:ascii="Times New Roman" w:hAnsi="Times New Roman"/>
          <w:sz w:val="24"/>
          <w:szCs w:val="24"/>
        </w:rPr>
        <w:t xml:space="preserve">. godini, uz pomoć osnivača Zagrebačke županije, intenzivno raditi na saniranju istoga. </w:t>
      </w:r>
      <w:r>
        <w:rPr>
          <w:rFonts w:ascii="Times New Roman" w:hAnsi="Times New Roman"/>
          <w:sz w:val="24"/>
          <w:szCs w:val="24"/>
        </w:rPr>
        <w:t xml:space="preserve">Planira se smanjenje određenih troškova koji nisu neophodni za nesmetano poslovanje </w:t>
      </w:r>
      <w:r w:rsidRPr="004A6691"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 xml:space="preserve">će se </w:t>
      </w:r>
      <w:r w:rsidRPr="004A6691">
        <w:rPr>
          <w:rFonts w:ascii="Times New Roman" w:hAnsi="Times New Roman"/>
          <w:sz w:val="24"/>
          <w:szCs w:val="24"/>
        </w:rPr>
        <w:t xml:space="preserve">intenzivno raditi na povećanju vlastitih prihoda. </w:t>
      </w:r>
    </w:p>
    <w:p w14:paraId="15FC2CC5" w14:textId="77777777" w:rsidR="000D4BCD" w:rsidRDefault="000D4BCD" w:rsidP="000D4BCD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5BA7C36D" w14:textId="77777777" w:rsidR="008B3755" w:rsidRDefault="008B3755" w:rsidP="000D4BCD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0BDE7D16" w14:textId="5B2783E7" w:rsidR="00AA68DA" w:rsidRDefault="00135284" w:rsidP="000D4BCD">
      <w:pPr>
        <w:ind w:left="5664" w:firstLine="708"/>
        <w:rPr>
          <w:rFonts w:ascii="Times New Roman" w:hAnsi="Times New Roman"/>
          <w:sz w:val="24"/>
          <w:szCs w:val="24"/>
        </w:rPr>
      </w:pPr>
      <w:r w:rsidRPr="0070339E">
        <w:rPr>
          <w:rFonts w:ascii="Times New Roman" w:hAnsi="Times New Roman"/>
          <w:sz w:val="24"/>
          <w:szCs w:val="24"/>
        </w:rPr>
        <w:t>Ravnatelj</w:t>
      </w:r>
      <w:r w:rsidR="000D4BCD">
        <w:rPr>
          <w:rFonts w:ascii="Times New Roman" w:hAnsi="Times New Roman"/>
          <w:sz w:val="24"/>
          <w:szCs w:val="24"/>
        </w:rPr>
        <w:t>ica</w:t>
      </w:r>
      <w:r w:rsidRPr="0070339E">
        <w:rPr>
          <w:rFonts w:ascii="Times New Roman" w:hAnsi="Times New Roman"/>
          <w:sz w:val="24"/>
          <w:szCs w:val="24"/>
        </w:rPr>
        <w:t>:</w:t>
      </w:r>
    </w:p>
    <w:p w14:paraId="063E86EC" w14:textId="1E06B514" w:rsidR="001A4452" w:rsidRPr="00AA68DA" w:rsidRDefault="000D4BCD" w:rsidP="000D4BCD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 Vukošić Paher, </w:t>
      </w:r>
      <w:proofErr w:type="spellStart"/>
      <w:r>
        <w:rPr>
          <w:rFonts w:ascii="Times New Roman" w:hAnsi="Times New Roman"/>
          <w:sz w:val="24"/>
          <w:szCs w:val="24"/>
        </w:rPr>
        <w:t>dipl.iur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1A4452" w:rsidRPr="00AA68DA" w:rsidSect="000D4BC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C6B3" w14:textId="77777777" w:rsidR="00F16E87" w:rsidRDefault="00F16E87" w:rsidP="00C5332F">
      <w:pPr>
        <w:spacing w:after="0" w:line="240" w:lineRule="auto"/>
      </w:pPr>
      <w:r>
        <w:separator/>
      </w:r>
    </w:p>
  </w:endnote>
  <w:endnote w:type="continuationSeparator" w:id="0">
    <w:p w14:paraId="607C9A7B" w14:textId="77777777" w:rsidR="00F16E87" w:rsidRDefault="00F16E87" w:rsidP="00C5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864307"/>
      <w:docPartObj>
        <w:docPartGallery w:val="Page Numbers (Bottom of Page)"/>
        <w:docPartUnique/>
      </w:docPartObj>
    </w:sdtPr>
    <w:sdtContent>
      <w:p w14:paraId="2F34EEBA" w14:textId="77777777" w:rsidR="00FF19B4" w:rsidRDefault="00A70C2C">
        <w:pPr>
          <w:pStyle w:val="Podnoje"/>
          <w:jc w:val="right"/>
        </w:pPr>
        <w:r>
          <w:fldChar w:fldCharType="begin"/>
        </w:r>
        <w:r w:rsidR="00FF19B4">
          <w:instrText>PAGE   \* MERGEFORMAT</w:instrText>
        </w:r>
        <w:r>
          <w:fldChar w:fldCharType="separate"/>
        </w:r>
        <w:r w:rsidR="009A3CDE">
          <w:rPr>
            <w:noProof/>
          </w:rPr>
          <w:t>14</w:t>
        </w:r>
        <w:r>
          <w:fldChar w:fldCharType="end"/>
        </w:r>
      </w:p>
    </w:sdtContent>
  </w:sdt>
  <w:p w14:paraId="1CB729CB" w14:textId="77777777" w:rsidR="00FF19B4" w:rsidRPr="008A2E81" w:rsidRDefault="00FF19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3784" w14:textId="77777777" w:rsidR="00F16E87" w:rsidRDefault="00F16E87" w:rsidP="00C5332F">
      <w:pPr>
        <w:spacing w:after="0" w:line="240" w:lineRule="auto"/>
      </w:pPr>
      <w:r>
        <w:separator/>
      </w:r>
    </w:p>
  </w:footnote>
  <w:footnote w:type="continuationSeparator" w:id="0">
    <w:p w14:paraId="56E69FBC" w14:textId="77777777" w:rsidR="00F16E87" w:rsidRDefault="00F16E87" w:rsidP="00C53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624"/>
    <w:multiLevelType w:val="hybridMultilevel"/>
    <w:tmpl w:val="DC70492A"/>
    <w:lvl w:ilvl="0" w:tplc="9C88B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D96AA1"/>
    <w:multiLevelType w:val="hybridMultilevel"/>
    <w:tmpl w:val="5F665016"/>
    <w:lvl w:ilvl="0" w:tplc="E5F68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1F7"/>
    <w:multiLevelType w:val="hybridMultilevel"/>
    <w:tmpl w:val="FA2ADE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A2E4D"/>
    <w:multiLevelType w:val="hybridMultilevel"/>
    <w:tmpl w:val="EA263818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A0B"/>
    <w:multiLevelType w:val="hybridMultilevel"/>
    <w:tmpl w:val="0A40B66C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1AFD"/>
    <w:multiLevelType w:val="multilevel"/>
    <w:tmpl w:val="E5D2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186C2E53"/>
    <w:multiLevelType w:val="hybridMultilevel"/>
    <w:tmpl w:val="737863FE"/>
    <w:lvl w:ilvl="0" w:tplc="F35210CA">
      <w:start w:val="3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8DE27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955A30"/>
    <w:multiLevelType w:val="hybridMultilevel"/>
    <w:tmpl w:val="57D4B970"/>
    <w:lvl w:ilvl="0" w:tplc="0409000B">
      <w:start w:val="1"/>
      <w:numFmt w:val="bullet"/>
      <w:lvlText w:val="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24395BB2"/>
    <w:multiLevelType w:val="hybridMultilevel"/>
    <w:tmpl w:val="056EB7AE"/>
    <w:lvl w:ilvl="0" w:tplc="041A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3F21313"/>
    <w:multiLevelType w:val="hybridMultilevel"/>
    <w:tmpl w:val="CD54C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D649E"/>
    <w:multiLevelType w:val="multilevel"/>
    <w:tmpl w:val="B3680D20"/>
    <w:lvl w:ilvl="0">
      <w:start w:val="1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5BFF02BB"/>
    <w:multiLevelType w:val="hybridMultilevel"/>
    <w:tmpl w:val="D88AA888"/>
    <w:lvl w:ilvl="0" w:tplc="CB228BDC">
      <w:start w:val="3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DEB5863"/>
    <w:multiLevelType w:val="hybridMultilevel"/>
    <w:tmpl w:val="DE6C86DC"/>
    <w:lvl w:ilvl="0" w:tplc="E27EACBA">
      <w:start w:val="2"/>
      <w:numFmt w:val="bullet"/>
      <w:lvlText w:val="-"/>
      <w:lvlJc w:val="left"/>
      <w:pPr>
        <w:ind w:left="153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4" w15:restartNumberingAfterBreak="0">
    <w:nsid w:val="62B03C46"/>
    <w:multiLevelType w:val="hybridMultilevel"/>
    <w:tmpl w:val="B308F11C"/>
    <w:lvl w:ilvl="0" w:tplc="6A98E7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45D0D52"/>
    <w:multiLevelType w:val="hybridMultilevel"/>
    <w:tmpl w:val="F998F53C"/>
    <w:lvl w:ilvl="0" w:tplc="2A58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A0549"/>
    <w:multiLevelType w:val="hybridMultilevel"/>
    <w:tmpl w:val="6A3C13D0"/>
    <w:lvl w:ilvl="0" w:tplc="0BFAFB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455C9"/>
    <w:multiLevelType w:val="hybridMultilevel"/>
    <w:tmpl w:val="B3BCA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A46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5018491">
    <w:abstractNumId w:val="11"/>
  </w:num>
  <w:num w:numId="2" w16cid:durableId="1764649537">
    <w:abstractNumId w:val="8"/>
  </w:num>
  <w:num w:numId="3" w16cid:durableId="626468079">
    <w:abstractNumId w:val="18"/>
  </w:num>
  <w:num w:numId="4" w16cid:durableId="1262683232">
    <w:abstractNumId w:val="13"/>
  </w:num>
  <w:num w:numId="5" w16cid:durableId="1322001698">
    <w:abstractNumId w:val="5"/>
  </w:num>
  <w:num w:numId="6" w16cid:durableId="124665032">
    <w:abstractNumId w:val="17"/>
  </w:num>
  <w:num w:numId="7" w16cid:durableId="280957571">
    <w:abstractNumId w:val="16"/>
  </w:num>
  <w:num w:numId="8" w16cid:durableId="517737707">
    <w:abstractNumId w:val="4"/>
  </w:num>
  <w:num w:numId="9" w16cid:durableId="1765883880">
    <w:abstractNumId w:val="3"/>
  </w:num>
  <w:num w:numId="10" w16cid:durableId="192807216">
    <w:abstractNumId w:val="10"/>
  </w:num>
  <w:num w:numId="11" w16cid:durableId="2146309447">
    <w:abstractNumId w:val="15"/>
  </w:num>
  <w:num w:numId="12" w16cid:durableId="2022312148">
    <w:abstractNumId w:val="0"/>
  </w:num>
  <w:num w:numId="13" w16cid:durableId="1450586488">
    <w:abstractNumId w:val="6"/>
  </w:num>
  <w:num w:numId="14" w16cid:durableId="1228761052">
    <w:abstractNumId w:val="14"/>
  </w:num>
  <w:num w:numId="15" w16cid:durableId="1137841509">
    <w:abstractNumId w:val="2"/>
  </w:num>
  <w:num w:numId="16" w16cid:durableId="1774782787">
    <w:abstractNumId w:val="1"/>
  </w:num>
  <w:num w:numId="17" w16cid:durableId="248850951">
    <w:abstractNumId w:val="9"/>
  </w:num>
  <w:num w:numId="18" w16cid:durableId="581989154">
    <w:abstractNumId w:val="12"/>
  </w:num>
  <w:num w:numId="19" w16cid:durableId="1437405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3C"/>
    <w:rsid w:val="00000C6B"/>
    <w:rsid w:val="000105F9"/>
    <w:rsid w:val="0001181F"/>
    <w:rsid w:val="000245F5"/>
    <w:rsid w:val="00025702"/>
    <w:rsid w:val="00027751"/>
    <w:rsid w:val="00032C9B"/>
    <w:rsid w:val="00033E09"/>
    <w:rsid w:val="00037783"/>
    <w:rsid w:val="0004175E"/>
    <w:rsid w:val="00055E6D"/>
    <w:rsid w:val="00061EB7"/>
    <w:rsid w:val="000720CE"/>
    <w:rsid w:val="00074196"/>
    <w:rsid w:val="00082229"/>
    <w:rsid w:val="00084284"/>
    <w:rsid w:val="000850DD"/>
    <w:rsid w:val="0008606C"/>
    <w:rsid w:val="000869F5"/>
    <w:rsid w:val="000903F5"/>
    <w:rsid w:val="00090DB5"/>
    <w:rsid w:val="00090EF6"/>
    <w:rsid w:val="00091AD3"/>
    <w:rsid w:val="0009262F"/>
    <w:rsid w:val="000A0E7A"/>
    <w:rsid w:val="000A509F"/>
    <w:rsid w:val="000A557D"/>
    <w:rsid w:val="000A5C80"/>
    <w:rsid w:val="000B380D"/>
    <w:rsid w:val="000B6C6B"/>
    <w:rsid w:val="000C6AFC"/>
    <w:rsid w:val="000D387D"/>
    <w:rsid w:val="000D3BC8"/>
    <w:rsid w:val="000D3E7A"/>
    <w:rsid w:val="000D4BCD"/>
    <w:rsid w:val="000D52B1"/>
    <w:rsid w:val="000D5D37"/>
    <w:rsid w:val="000D6D53"/>
    <w:rsid w:val="000E182F"/>
    <w:rsid w:val="000E7292"/>
    <w:rsid w:val="000F4EB6"/>
    <w:rsid w:val="000F65CB"/>
    <w:rsid w:val="0011015A"/>
    <w:rsid w:val="00111ED8"/>
    <w:rsid w:val="00111EEA"/>
    <w:rsid w:val="00114F21"/>
    <w:rsid w:val="00115348"/>
    <w:rsid w:val="00124FE2"/>
    <w:rsid w:val="00125AF4"/>
    <w:rsid w:val="00127ED3"/>
    <w:rsid w:val="001320AB"/>
    <w:rsid w:val="00133110"/>
    <w:rsid w:val="0013365B"/>
    <w:rsid w:val="00135284"/>
    <w:rsid w:val="0013660A"/>
    <w:rsid w:val="00145751"/>
    <w:rsid w:val="00151289"/>
    <w:rsid w:val="001518CC"/>
    <w:rsid w:val="00151AB2"/>
    <w:rsid w:val="00167611"/>
    <w:rsid w:val="00174E57"/>
    <w:rsid w:val="00175B58"/>
    <w:rsid w:val="00175F2C"/>
    <w:rsid w:val="001764B3"/>
    <w:rsid w:val="00176AF1"/>
    <w:rsid w:val="00176B63"/>
    <w:rsid w:val="00183FE8"/>
    <w:rsid w:val="001A4452"/>
    <w:rsid w:val="001A70AB"/>
    <w:rsid w:val="001B0E10"/>
    <w:rsid w:val="001B13D8"/>
    <w:rsid w:val="001B1DFF"/>
    <w:rsid w:val="001B3AB7"/>
    <w:rsid w:val="001C6177"/>
    <w:rsid w:val="001D0789"/>
    <w:rsid w:val="001D17BA"/>
    <w:rsid w:val="001E35E8"/>
    <w:rsid w:val="001E3FEA"/>
    <w:rsid w:val="001E54DB"/>
    <w:rsid w:val="001E5EC1"/>
    <w:rsid w:val="001E7E4F"/>
    <w:rsid w:val="001F3135"/>
    <w:rsid w:val="001F50D3"/>
    <w:rsid w:val="00216279"/>
    <w:rsid w:val="00216BE2"/>
    <w:rsid w:val="00216E7D"/>
    <w:rsid w:val="002179B9"/>
    <w:rsid w:val="00220EFF"/>
    <w:rsid w:val="002225E2"/>
    <w:rsid w:val="002250E2"/>
    <w:rsid w:val="0022792E"/>
    <w:rsid w:val="00242F47"/>
    <w:rsid w:val="002440A1"/>
    <w:rsid w:val="00246480"/>
    <w:rsid w:val="00252712"/>
    <w:rsid w:val="00262C1F"/>
    <w:rsid w:val="00262E90"/>
    <w:rsid w:val="00274713"/>
    <w:rsid w:val="00274E5C"/>
    <w:rsid w:val="00280C73"/>
    <w:rsid w:val="00285DA1"/>
    <w:rsid w:val="00292028"/>
    <w:rsid w:val="0029314B"/>
    <w:rsid w:val="00294A9B"/>
    <w:rsid w:val="002A169A"/>
    <w:rsid w:val="002A548E"/>
    <w:rsid w:val="002B506C"/>
    <w:rsid w:val="002B5698"/>
    <w:rsid w:val="002C13BE"/>
    <w:rsid w:val="002E373D"/>
    <w:rsid w:val="002E42C3"/>
    <w:rsid w:val="002E45F0"/>
    <w:rsid w:val="002F0E3B"/>
    <w:rsid w:val="002F1EE2"/>
    <w:rsid w:val="002F4332"/>
    <w:rsid w:val="002F471B"/>
    <w:rsid w:val="002F613D"/>
    <w:rsid w:val="00302AE2"/>
    <w:rsid w:val="003041B7"/>
    <w:rsid w:val="003102F6"/>
    <w:rsid w:val="003128A8"/>
    <w:rsid w:val="00312CFB"/>
    <w:rsid w:val="003158E7"/>
    <w:rsid w:val="00315FBF"/>
    <w:rsid w:val="003168B9"/>
    <w:rsid w:val="00316F81"/>
    <w:rsid w:val="003242A8"/>
    <w:rsid w:val="00326DC1"/>
    <w:rsid w:val="00330534"/>
    <w:rsid w:val="003337E4"/>
    <w:rsid w:val="00337E5B"/>
    <w:rsid w:val="00340471"/>
    <w:rsid w:val="0035788E"/>
    <w:rsid w:val="003578DE"/>
    <w:rsid w:val="00362B18"/>
    <w:rsid w:val="003676AC"/>
    <w:rsid w:val="00373BBF"/>
    <w:rsid w:val="0037598F"/>
    <w:rsid w:val="00382683"/>
    <w:rsid w:val="003851A4"/>
    <w:rsid w:val="00385982"/>
    <w:rsid w:val="00390A35"/>
    <w:rsid w:val="00392F00"/>
    <w:rsid w:val="00396BEA"/>
    <w:rsid w:val="003A06C2"/>
    <w:rsid w:val="003A5746"/>
    <w:rsid w:val="003B0065"/>
    <w:rsid w:val="003B3491"/>
    <w:rsid w:val="003B680B"/>
    <w:rsid w:val="003E15E4"/>
    <w:rsid w:val="003E181C"/>
    <w:rsid w:val="003E2706"/>
    <w:rsid w:val="003E4A05"/>
    <w:rsid w:val="003E4B0E"/>
    <w:rsid w:val="003F0E6E"/>
    <w:rsid w:val="003F13BD"/>
    <w:rsid w:val="003F296C"/>
    <w:rsid w:val="003F3CD1"/>
    <w:rsid w:val="003F4C2D"/>
    <w:rsid w:val="003F633E"/>
    <w:rsid w:val="003F7ED8"/>
    <w:rsid w:val="00404362"/>
    <w:rsid w:val="00404920"/>
    <w:rsid w:val="004078A0"/>
    <w:rsid w:val="0041090C"/>
    <w:rsid w:val="0041145C"/>
    <w:rsid w:val="00420673"/>
    <w:rsid w:val="004235C3"/>
    <w:rsid w:val="004252BE"/>
    <w:rsid w:val="00440488"/>
    <w:rsid w:val="00441F10"/>
    <w:rsid w:val="00443561"/>
    <w:rsid w:val="00444C24"/>
    <w:rsid w:val="00444EB1"/>
    <w:rsid w:val="00451671"/>
    <w:rsid w:val="0045285C"/>
    <w:rsid w:val="00457B2F"/>
    <w:rsid w:val="00457BE8"/>
    <w:rsid w:val="00460CAE"/>
    <w:rsid w:val="00461AB9"/>
    <w:rsid w:val="0046426E"/>
    <w:rsid w:val="0046462F"/>
    <w:rsid w:val="00464D71"/>
    <w:rsid w:val="004659BC"/>
    <w:rsid w:val="00470949"/>
    <w:rsid w:val="00476015"/>
    <w:rsid w:val="004775DE"/>
    <w:rsid w:val="004854F5"/>
    <w:rsid w:val="00486EB6"/>
    <w:rsid w:val="00496263"/>
    <w:rsid w:val="004A28D3"/>
    <w:rsid w:val="004A2F55"/>
    <w:rsid w:val="004A5AE7"/>
    <w:rsid w:val="004A74AC"/>
    <w:rsid w:val="004B0AA2"/>
    <w:rsid w:val="004B4F4B"/>
    <w:rsid w:val="004C2C7B"/>
    <w:rsid w:val="004C47D6"/>
    <w:rsid w:val="004C5B5B"/>
    <w:rsid w:val="004D70A7"/>
    <w:rsid w:val="004E0A60"/>
    <w:rsid w:val="004E6D78"/>
    <w:rsid w:val="004E722E"/>
    <w:rsid w:val="004F7281"/>
    <w:rsid w:val="00503688"/>
    <w:rsid w:val="00517068"/>
    <w:rsid w:val="00523A15"/>
    <w:rsid w:val="00534460"/>
    <w:rsid w:val="00534C70"/>
    <w:rsid w:val="0053742D"/>
    <w:rsid w:val="0054019D"/>
    <w:rsid w:val="00544314"/>
    <w:rsid w:val="00546AD7"/>
    <w:rsid w:val="005475F0"/>
    <w:rsid w:val="0055059B"/>
    <w:rsid w:val="005512CD"/>
    <w:rsid w:val="005530AD"/>
    <w:rsid w:val="00555DF3"/>
    <w:rsid w:val="00563FF2"/>
    <w:rsid w:val="00575547"/>
    <w:rsid w:val="00585708"/>
    <w:rsid w:val="00585802"/>
    <w:rsid w:val="005875C6"/>
    <w:rsid w:val="00587AB1"/>
    <w:rsid w:val="00587DFE"/>
    <w:rsid w:val="00590C43"/>
    <w:rsid w:val="00591F90"/>
    <w:rsid w:val="00594370"/>
    <w:rsid w:val="005944A7"/>
    <w:rsid w:val="005A5F1F"/>
    <w:rsid w:val="005A71C2"/>
    <w:rsid w:val="005B19C2"/>
    <w:rsid w:val="005B26AE"/>
    <w:rsid w:val="005B2BF9"/>
    <w:rsid w:val="005B3ABA"/>
    <w:rsid w:val="005B6A7D"/>
    <w:rsid w:val="005B7932"/>
    <w:rsid w:val="005C31A5"/>
    <w:rsid w:val="005C3F5B"/>
    <w:rsid w:val="005C4410"/>
    <w:rsid w:val="005C5402"/>
    <w:rsid w:val="005C6CF3"/>
    <w:rsid w:val="005C774E"/>
    <w:rsid w:val="005D250E"/>
    <w:rsid w:val="005D5F17"/>
    <w:rsid w:val="005E3502"/>
    <w:rsid w:val="005E7A4E"/>
    <w:rsid w:val="005F6679"/>
    <w:rsid w:val="00612613"/>
    <w:rsid w:val="00614228"/>
    <w:rsid w:val="006142D7"/>
    <w:rsid w:val="006223D5"/>
    <w:rsid w:val="00626C7C"/>
    <w:rsid w:val="00630CB0"/>
    <w:rsid w:val="006333F7"/>
    <w:rsid w:val="00637A88"/>
    <w:rsid w:val="006414DA"/>
    <w:rsid w:val="00641CF2"/>
    <w:rsid w:val="006421E1"/>
    <w:rsid w:val="0064734E"/>
    <w:rsid w:val="00660E31"/>
    <w:rsid w:val="00662400"/>
    <w:rsid w:val="0066252B"/>
    <w:rsid w:val="00663C94"/>
    <w:rsid w:val="00664412"/>
    <w:rsid w:val="00665408"/>
    <w:rsid w:val="00665B9C"/>
    <w:rsid w:val="00667DAB"/>
    <w:rsid w:val="006828B1"/>
    <w:rsid w:val="006829CD"/>
    <w:rsid w:val="00690A4F"/>
    <w:rsid w:val="006918FD"/>
    <w:rsid w:val="0069213E"/>
    <w:rsid w:val="00693D08"/>
    <w:rsid w:val="006973E8"/>
    <w:rsid w:val="00697A23"/>
    <w:rsid w:val="006A61F5"/>
    <w:rsid w:val="006B1F94"/>
    <w:rsid w:val="006B2A93"/>
    <w:rsid w:val="006B5F9D"/>
    <w:rsid w:val="006B7637"/>
    <w:rsid w:val="006C7D0A"/>
    <w:rsid w:val="006D38BB"/>
    <w:rsid w:val="006D3F37"/>
    <w:rsid w:val="006D5ADF"/>
    <w:rsid w:val="006D6C07"/>
    <w:rsid w:val="006D70DA"/>
    <w:rsid w:val="006E4474"/>
    <w:rsid w:val="006F103C"/>
    <w:rsid w:val="006F5E3F"/>
    <w:rsid w:val="0070339E"/>
    <w:rsid w:val="00706A73"/>
    <w:rsid w:val="00711DBA"/>
    <w:rsid w:val="0071416D"/>
    <w:rsid w:val="00720A74"/>
    <w:rsid w:val="007216C3"/>
    <w:rsid w:val="00722154"/>
    <w:rsid w:val="00733A72"/>
    <w:rsid w:val="00735087"/>
    <w:rsid w:val="00735737"/>
    <w:rsid w:val="00750CD2"/>
    <w:rsid w:val="0075182A"/>
    <w:rsid w:val="00760D40"/>
    <w:rsid w:val="00763752"/>
    <w:rsid w:val="00765573"/>
    <w:rsid w:val="00765EEF"/>
    <w:rsid w:val="00772A33"/>
    <w:rsid w:val="00776121"/>
    <w:rsid w:val="00796B39"/>
    <w:rsid w:val="007A61AF"/>
    <w:rsid w:val="007A762C"/>
    <w:rsid w:val="007B0E25"/>
    <w:rsid w:val="007C0832"/>
    <w:rsid w:val="007F1E40"/>
    <w:rsid w:val="00806226"/>
    <w:rsid w:val="00811F8E"/>
    <w:rsid w:val="008129D8"/>
    <w:rsid w:val="00812AF5"/>
    <w:rsid w:val="00822D87"/>
    <w:rsid w:val="008230B7"/>
    <w:rsid w:val="00826B92"/>
    <w:rsid w:val="00826C50"/>
    <w:rsid w:val="00826DDA"/>
    <w:rsid w:val="00827EEF"/>
    <w:rsid w:val="00836744"/>
    <w:rsid w:val="00840D0D"/>
    <w:rsid w:val="00840E55"/>
    <w:rsid w:val="00841AEF"/>
    <w:rsid w:val="008433CB"/>
    <w:rsid w:val="008459F8"/>
    <w:rsid w:val="00846F09"/>
    <w:rsid w:val="008520A1"/>
    <w:rsid w:val="00864729"/>
    <w:rsid w:val="00864B4F"/>
    <w:rsid w:val="00866609"/>
    <w:rsid w:val="00867B8D"/>
    <w:rsid w:val="008716FD"/>
    <w:rsid w:val="00873AF0"/>
    <w:rsid w:val="00880101"/>
    <w:rsid w:val="008825F1"/>
    <w:rsid w:val="00884369"/>
    <w:rsid w:val="008863B3"/>
    <w:rsid w:val="00890624"/>
    <w:rsid w:val="00891C12"/>
    <w:rsid w:val="008952F7"/>
    <w:rsid w:val="008A2E81"/>
    <w:rsid w:val="008A3A88"/>
    <w:rsid w:val="008A6DA2"/>
    <w:rsid w:val="008A6EF6"/>
    <w:rsid w:val="008A6F02"/>
    <w:rsid w:val="008B3755"/>
    <w:rsid w:val="008B7AEF"/>
    <w:rsid w:val="008C7600"/>
    <w:rsid w:val="008D0B93"/>
    <w:rsid w:val="008D14EF"/>
    <w:rsid w:val="008D4E5A"/>
    <w:rsid w:val="008E135D"/>
    <w:rsid w:val="008E6B51"/>
    <w:rsid w:val="008F0C85"/>
    <w:rsid w:val="008F2023"/>
    <w:rsid w:val="008F36E5"/>
    <w:rsid w:val="008F4C6E"/>
    <w:rsid w:val="008F6C3F"/>
    <w:rsid w:val="00911060"/>
    <w:rsid w:val="00923370"/>
    <w:rsid w:val="009262BA"/>
    <w:rsid w:val="009337D1"/>
    <w:rsid w:val="00935153"/>
    <w:rsid w:val="00935F37"/>
    <w:rsid w:val="00941028"/>
    <w:rsid w:val="009463AA"/>
    <w:rsid w:val="009551E4"/>
    <w:rsid w:val="0096158E"/>
    <w:rsid w:val="00963F2E"/>
    <w:rsid w:val="00964372"/>
    <w:rsid w:val="00970A8C"/>
    <w:rsid w:val="009737EB"/>
    <w:rsid w:val="00974F5C"/>
    <w:rsid w:val="0097683F"/>
    <w:rsid w:val="009811B7"/>
    <w:rsid w:val="0098168C"/>
    <w:rsid w:val="009842CC"/>
    <w:rsid w:val="00984B93"/>
    <w:rsid w:val="00991B12"/>
    <w:rsid w:val="0099357F"/>
    <w:rsid w:val="009941CE"/>
    <w:rsid w:val="009A3250"/>
    <w:rsid w:val="009A3CDE"/>
    <w:rsid w:val="009A7E2C"/>
    <w:rsid w:val="009B1AE9"/>
    <w:rsid w:val="009C1DBE"/>
    <w:rsid w:val="009C1F9B"/>
    <w:rsid w:val="009C4E4A"/>
    <w:rsid w:val="009D06CE"/>
    <w:rsid w:val="009D67DD"/>
    <w:rsid w:val="009D6FBA"/>
    <w:rsid w:val="009D7FB2"/>
    <w:rsid w:val="009E1CB8"/>
    <w:rsid w:val="009E45C4"/>
    <w:rsid w:val="009E501A"/>
    <w:rsid w:val="009F1F1D"/>
    <w:rsid w:val="00A055A0"/>
    <w:rsid w:val="00A0729A"/>
    <w:rsid w:val="00A1037D"/>
    <w:rsid w:val="00A15A36"/>
    <w:rsid w:val="00A2369E"/>
    <w:rsid w:val="00A27559"/>
    <w:rsid w:val="00A30568"/>
    <w:rsid w:val="00A30E66"/>
    <w:rsid w:val="00A32013"/>
    <w:rsid w:val="00A325EC"/>
    <w:rsid w:val="00A34458"/>
    <w:rsid w:val="00A365A6"/>
    <w:rsid w:val="00A374E4"/>
    <w:rsid w:val="00A375C8"/>
    <w:rsid w:val="00A425F4"/>
    <w:rsid w:val="00A43FD6"/>
    <w:rsid w:val="00A44618"/>
    <w:rsid w:val="00A619D3"/>
    <w:rsid w:val="00A62E90"/>
    <w:rsid w:val="00A65634"/>
    <w:rsid w:val="00A65FCF"/>
    <w:rsid w:val="00A70C2C"/>
    <w:rsid w:val="00A7384F"/>
    <w:rsid w:val="00A76E46"/>
    <w:rsid w:val="00A83DE0"/>
    <w:rsid w:val="00A86EEF"/>
    <w:rsid w:val="00A94223"/>
    <w:rsid w:val="00A96301"/>
    <w:rsid w:val="00AA0E0C"/>
    <w:rsid w:val="00AA2452"/>
    <w:rsid w:val="00AA60C5"/>
    <w:rsid w:val="00AA68DA"/>
    <w:rsid w:val="00AB0A32"/>
    <w:rsid w:val="00AB1914"/>
    <w:rsid w:val="00AB1FDE"/>
    <w:rsid w:val="00AB6308"/>
    <w:rsid w:val="00AB70BA"/>
    <w:rsid w:val="00AC0EDE"/>
    <w:rsid w:val="00AC14FA"/>
    <w:rsid w:val="00AC15AF"/>
    <w:rsid w:val="00AC50C2"/>
    <w:rsid w:val="00AC5C85"/>
    <w:rsid w:val="00AD51EB"/>
    <w:rsid w:val="00AD5EF5"/>
    <w:rsid w:val="00AF226F"/>
    <w:rsid w:val="00AF31BD"/>
    <w:rsid w:val="00AF7026"/>
    <w:rsid w:val="00B06494"/>
    <w:rsid w:val="00B107FD"/>
    <w:rsid w:val="00B1178A"/>
    <w:rsid w:val="00B13BE9"/>
    <w:rsid w:val="00B14591"/>
    <w:rsid w:val="00B14788"/>
    <w:rsid w:val="00B1502F"/>
    <w:rsid w:val="00B23584"/>
    <w:rsid w:val="00B25C26"/>
    <w:rsid w:val="00B41601"/>
    <w:rsid w:val="00B43265"/>
    <w:rsid w:val="00B55199"/>
    <w:rsid w:val="00B607E4"/>
    <w:rsid w:val="00B67822"/>
    <w:rsid w:val="00B7026C"/>
    <w:rsid w:val="00B732C2"/>
    <w:rsid w:val="00B75419"/>
    <w:rsid w:val="00B75F4F"/>
    <w:rsid w:val="00B87DFC"/>
    <w:rsid w:val="00B94354"/>
    <w:rsid w:val="00B97AFC"/>
    <w:rsid w:val="00BA4B95"/>
    <w:rsid w:val="00BB1BD4"/>
    <w:rsid w:val="00BC4A4F"/>
    <w:rsid w:val="00BC5DAF"/>
    <w:rsid w:val="00BC70B1"/>
    <w:rsid w:val="00BC7A3A"/>
    <w:rsid w:val="00BD2CB0"/>
    <w:rsid w:val="00BD76FA"/>
    <w:rsid w:val="00BE4C8C"/>
    <w:rsid w:val="00BF3090"/>
    <w:rsid w:val="00BF7188"/>
    <w:rsid w:val="00BF72BF"/>
    <w:rsid w:val="00C008C3"/>
    <w:rsid w:val="00C016EA"/>
    <w:rsid w:val="00C12EFA"/>
    <w:rsid w:val="00C17AA3"/>
    <w:rsid w:val="00C22275"/>
    <w:rsid w:val="00C24E1A"/>
    <w:rsid w:val="00C24E1B"/>
    <w:rsid w:val="00C30FB9"/>
    <w:rsid w:val="00C31E41"/>
    <w:rsid w:val="00C41E53"/>
    <w:rsid w:val="00C44664"/>
    <w:rsid w:val="00C46335"/>
    <w:rsid w:val="00C5332F"/>
    <w:rsid w:val="00C533D1"/>
    <w:rsid w:val="00C540A9"/>
    <w:rsid w:val="00C664B0"/>
    <w:rsid w:val="00C7064D"/>
    <w:rsid w:val="00C71F48"/>
    <w:rsid w:val="00C8114E"/>
    <w:rsid w:val="00C84E8F"/>
    <w:rsid w:val="00C92D04"/>
    <w:rsid w:val="00C945A8"/>
    <w:rsid w:val="00C95986"/>
    <w:rsid w:val="00C9751A"/>
    <w:rsid w:val="00CA6865"/>
    <w:rsid w:val="00CC00CD"/>
    <w:rsid w:val="00CC66C7"/>
    <w:rsid w:val="00CC6E8C"/>
    <w:rsid w:val="00CD570E"/>
    <w:rsid w:val="00CD786B"/>
    <w:rsid w:val="00CF0885"/>
    <w:rsid w:val="00CF33F3"/>
    <w:rsid w:val="00D06E51"/>
    <w:rsid w:val="00D07024"/>
    <w:rsid w:val="00D10AC9"/>
    <w:rsid w:val="00D12049"/>
    <w:rsid w:val="00D148A1"/>
    <w:rsid w:val="00D21969"/>
    <w:rsid w:val="00D3265A"/>
    <w:rsid w:val="00D327C8"/>
    <w:rsid w:val="00D41246"/>
    <w:rsid w:val="00D53C1D"/>
    <w:rsid w:val="00D547EF"/>
    <w:rsid w:val="00D558EB"/>
    <w:rsid w:val="00D61F1F"/>
    <w:rsid w:val="00D67CA2"/>
    <w:rsid w:val="00D738AB"/>
    <w:rsid w:val="00D848ED"/>
    <w:rsid w:val="00D87DAF"/>
    <w:rsid w:val="00D92777"/>
    <w:rsid w:val="00D92785"/>
    <w:rsid w:val="00D97488"/>
    <w:rsid w:val="00DA3A4A"/>
    <w:rsid w:val="00DA65AB"/>
    <w:rsid w:val="00DB326B"/>
    <w:rsid w:val="00DB52CD"/>
    <w:rsid w:val="00DB69A4"/>
    <w:rsid w:val="00DC1CB3"/>
    <w:rsid w:val="00DC32D9"/>
    <w:rsid w:val="00DC6461"/>
    <w:rsid w:val="00DD1584"/>
    <w:rsid w:val="00DD3444"/>
    <w:rsid w:val="00DD5B9D"/>
    <w:rsid w:val="00DD77BA"/>
    <w:rsid w:val="00DE42B9"/>
    <w:rsid w:val="00DE60A8"/>
    <w:rsid w:val="00DE6500"/>
    <w:rsid w:val="00DE67A2"/>
    <w:rsid w:val="00E0060F"/>
    <w:rsid w:val="00E115A6"/>
    <w:rsid w:val="00E20953"/>
    <w:rsid w:val="00E2437D"/>
    <w:rsid w:val="00E265DF"/>
    <w:rsid w:val="00E3087F"/>
    <w:rsid w:val="00E32A87"/>
    <w:rsid w:val="00E32C76"/>
    <w:rsid w:val="00E336FC"/>
    <w:rsid w:val="00E34876"/>
    <w:rsid w:val="00E4094E"/>
    <w:rsid w:val="00E464CE"/>
    <w:rsid w:val="00E53A9F"/>
    <w:rsid w:val="00E7696B"/>
    <w:rsid w:val="00E828A9"/>
    <w:rsid w:val="00E91ABE"/>
    <w:rsid w:val="00E92867"/>
    <w:rsid w:val="00EA0A77"/>
    <w:rsid w:val="00EA0EE5"/>
    <w:rsid w:val="00EA2E3B"/>
    <w:rsid w:val="00EA3288"/>
    <w:rsid w:val="00EB1C98"/>
    <w:rsid w:val="00EB510F"/>
    <w:rsid w:val="00EB744C"/>
    <w:rsid w:val="00EB76D7"/>
    <w:rsid w:val="00EB7F82"/>
    <w:rsid w:val="00EC194E"/>
    <w:rsid w:val="00EC2E45"/>
    <w:rsid w:val="00EC4F05"/>
    <w:rsid w:val="00EC5E4E"/>
    <w:rsid w:val="00EE65FE"/>
    <w:rsid w:val="00EF0E80"/>
    <w:rsid w:val="00EF25CE"/>
    <w:rsid w:val="00EF3AF1"/>
    <w:rsid w:val="00EF43CC"/>
    <w:rsid w:val="00EF5F72"/>
    <w:rsid w:val="00EF5FFD"/>
    <w:rsid w:val="00F16E87"/>
    <w:rsid w:val="00F174AF"/>
    <w:rsid w:val="00F258FB"/>
    <w:rsid w:val="00F30037"/>
    <w:rsid w:val="00F32692"/>
    <w:rsid w:val="00F342CC"/>
    <w:rsid w:val="00F37ACE"/>
    <w:rsid w:val="00F46C46"/>
    <w:rsid w:val="00F52D5A"/>
    <w:rsid w:val="00F62885"/>
    <w:rsid w:val="00F65D4B"/>
    <w:rsid w:val="00F80433"/>
    <w:rsid w:val="00F81E73"/>
    <w:rsid w:val="00F902ED"/>
    <w:rsid w:val="00F92C3A"/>
    <w:rsid w:val="00F930AD"/>
    <w:rsid w:val="00F957CE"/>
    <w:rsid w:val="00F96212"/>
    <w:rsid w:val="00F977B8"/>
    <w:rsid w:val="00FA7C35"/>
    <w:rsid w:val="00FB023D"/>
    <w:rsid w:val="00FB0832"/>
    <w:rsid w:val="00FB2533"/>
    <w:rsid w:val="00FB2E55"/>
    <w:rsid w:val="00FB65F8"/>
    <w:rsid w:val="00FC0ED3"/>
    <w:rsid w:val="00FC1EF5"/>
    <w:rsid w:val="00FC4687"/>
    <w:rsid w:val="00FC63C9"/>
    <w:rsid w:val="00FD3830"/>
    <w:rsid w:val="00FD7AD3"/>
    <w:rsid w:val="00FE20F6"/>
    <w:rsid w:val="00FE6714"/>
    <w:rsid w:val="00FF19B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629BF"/>
  <w15:docId w15:val="{63FD4FB7-7EB0-4E43-8A5A-2850D248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6B"/>
    <w:pPr>
      <w:spacing w:after="200" w:line="27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E53A9F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0"/>
      <w:szCs w:val="24"/>
    </w:rPr>
  </w:style>
  <w:style w:type="paragraph" w:styleId="Naslov2">
    <w:name w:val="heading 2"/>
    <w:basedOn w:val="Normal"/>
    <w:next w:val="Normal"/>
    <w:link w:val="Naslov2Char"/>
    <w:qFormat/>
    <w:rsid w:val="00E53A9F"/>
    <w:pPr>
      <w:keepNext/>
      <w:spacing w:after="0" w:line="240" w:lineRule="auto"/>
      <w:outlineLvl w:val="1"/>
    </w:pPr>
    <w:rPr>
      <w:rFonts w:ascii="Times New Roman" w:hAnsi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53A9F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link w:val="Naslov2"/>
    <w:rsid w:val="00E53A9F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ijeloteksta">
    <w:name w:val="Body Text"/>
    <w:basedOn w:val="Normal"/>
    <w:link w:val="TijelotekstaChar"/>
    <w:rsid w:val="00E53A9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link w:val="Tijeloteksta"/>
    <w:rsid w:val="00E53A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E53A9F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ijeloteksta2Char">
    <w:name w:val="Tijelo teksta 2 Char"/>
    <w:link w:val="Tijeloteksta2"/>
    <w:rsid w:val="00E53A9F"/>
    <w:rPr>
      <w:rFonts w:ascii="Times New Roman" w:eastAsia="Times New Roman" w:hAnsi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54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50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45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945A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F4C2D"/>
    <w:rPr>
      <w:rFonts w:ascii="Times New Roman" w:hAnsi="Times New Roman"/>
      <w:sz w:val="24"/>
      <w:szCs w:val="22"/>
    </w:rPr>
  </w:style>
  <w:style w:type="character" w:styleId="Hiperveza">
    <w:name w:val="Hyperlink"/>
    <w:uiPriority w:val="99"/>
    <w:unhideWhenUsed/>
    <w:rsid w:val="00DC1CB3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000C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0C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0C6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0C6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00C6B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533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5332F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533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5332F"/>
    <w:rPr>
      <w:sz w:val="22"/>
      <w:szCs w:val="22"/>
    </w:rPr>
  </w:style>
  <w:style w:type="paragraph" w:styleId="Opisslike">
    <w:name w:val="caption"/>
    <w:basedOn w:val="Normal"/>
    <w:next w:val="Normal"/>
    <w:uiPriority w:val="35"/>
    <w:unhideWhenUsed/>
    <w:qFormat/>
    <w:rsid w:val="000F65CB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CACB-CC27-4419-954F-E24FF25D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13</Pages>
  <Words>2938</Words>
  <Characters>16748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Vlasnik</dc:creator>
  <cp:lastModifiedBy>Petra Sočan</cp:lastModifiedBy>
  <cp:revision>16</cp:revision>
  <cp:lastPrinted>2023-02-21T13:08:00Z</cp:lastPrinted>
  <dcterms:created xsi:type="dcterms:W3CDTF">2022-05-18T09:31:00Z</dcterms:created>
  <dcterms:modified xsi:type="dcterms:W3CDTF">2025-08-20T08:26:00Z</dcterms:modified>
</cp:coreProperties>
</file>